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C2D" w:rsidRPr="007306DC" w:rsidRDefault="00501C2D" w:rsidP="007306DC">
      <w:pPr>
        <w:pStyle w:val="Default"/>
        <w:jc w:val="center"/>
        <w:rPr>
          <w:b/>
        </w:rPr>
      </w:pPr>
    </w:p>
    <w:p w:rsidR="007306DC" w:rsidRPr="007306DC" w:rsidRDefault="007306DC" w:rsidP="007306DC">
      <w:pPr>
        <w:pStyle w:val="Default"/>
        <w:jc w:val="center"/>
        <w:rPr>
          <w:b/>
          <w:sz w:val="32"/>
          <w:szCs w:val="32"/>
        </w:rPr>
      </w:pPr>
      <w:r w:rsidRPr="007306DC">
        <w:rPr>
          <w:b/>
          <w:sz w:val="32"/>
          <w:szCs w:val="32"/>
        </w:rPr>
        <w:t>DE VERDWENEN KERK VAN NOORD-AFRIKA</w:t>
      </w:r>
    </w:p>
    <w:p w:rsidR="007306DC" w:rsidRPr="007306DC" w:rsidRDefault="007306DC" w:rsidP="007306DC">
      <w:pPr>
        <w:pStyle w:val="Default"/>
        <w:jc w:val="center"/>
        <w:rPr>
          <w:b/>
          <w:sz w:val="32"/>
          <w:szCs w:val="32"/>
        </w:rPr>
      </w:pPr>
    </w:p>
    <w:p w:rsidR="007306DC" w:rsidRPr="007306DC" w:rsidRDefault="007306DC" w:rsidP="007306DC">
      <w:pPr>
        <w:pStyle w:val="Default"/>
        <w:jc w:val="center"/>
        <w:rPr>
          <w:b/>
          <w:sz w:val="32"/>
          <w:szCs w:val="32"/>
        </w:rPr>
      </w:pPr>
      <w:r w:rsidRPr="007306DC">
        <w:rPr>
          <w:b/>
          <w:sz w:val="32"/>
          <w:szCs w:val="32"/>
        </w:rPr>
        <w:t>EEN ANALYSE IN DE  ONDERZOEKSLITERATUUR</w:t>
      </w:r>
    </w:p>
    <w:p w:rsidR="007306DC" w:rsidRPr="007306DC" w:rsidRDefault="007306DC" w:rsidP="007306DC">
      <w:pPr>
        <w:pStyle w:val="Default"/>
        <w:jc w:val="center"/>
        <w:rPr>
          <w:b/>
        </w:rPr>
      </w:pPr>
    </w:p>
    <w:p w:rsidR="007306DC" w:rsidRPr="007306DC" w:rsidRDefault="007306DC" w:rsidP="007306DC">
      <w:pPr>
        <w:pStyle w:val="Default"/>
        <w:jc w:val="center"/>
        <w:rPr>
          <w:b/>
        </w:rPr>
      </w:pPr>
    </w:p>
    <w:p w:rsidR="00501C2D" w:rsidRPr="007306DC" w:rsidRDefault="007306DC" w:rsidP="007306DC">
      <w:pPr>
        <w:pStyle w:val="Default"/>
        <w:jc w:val="center"/>
        <w:rPr>
          <w:b/>
        </w:rPr>
      </w:pPr>
      <w:r w:rsidRPr="007306DC">
        <w:rPr>
          <w:b/>
        </w:rPr>
        <w:t xml:space="preserve">VAN DE </w:t>
      </w:r>
      <w:r w:rsidR="00501C2D" w:rsidRPr="007306DC">
        <w:rPr>
          <w:b/>
        </w:rPr>
        <w:t>EVANGELISCHE THEOLOGISCHE FACULTEIT</w:t>
      </w:r>
    </w:p>
    <w:p w:rsidR="007306DC" w:rsidRPr="007306DC" w:rsidRDefault="007306DC" w:rsidP="007306DC">
      <w:pPr>
        <w:pStyle w:val="Default"/>
        <w:jc w:val="center"/>
        <w:rPr>
          <w:b/>
        </w:rPr>
      </w:pPr>
    </w:p>
    <w:p w:rsidR="00501C2D" w:rsidRPr="007306DC" w:rsidRDefault="00501C2D" w:rsidP="007306DC">
      <w:pPr>
        <w:pStyle w:val="Default"/>
        <w:jc w:val="center"/>
        <w:rPr>
          <w:b/>
        </w:rPr>
      </w:pPr>
      <w:r w:rsidRPr="007306DC">
        <w:rPr>
          <w:b/>
        </w:rPr>
        <w:t>EUROPEAN SCHOOL OF EVANGELICAL THEOLOGY</w:t>
      </w:r>
    </w:p>
    <w:p w:rsidR="007306DC" w:rsidRPr="007306DC" w:rsidRDefault="007306DC" w:rsidP="007306DC">
      <w:pPr>
        <w:pStyle w:val="Default"/>
        <w:jc w:val="center"/>
        <w:rPr>
          <w:b/>
        </w:rPr>
      </w:pPr>
    </w:p>
    <w:p w:rsidR="007306DC" w:rsidRPr="007306DC" w:rsidRDefault="007306DC" w:rsidP="007306DC">
      <w:pPr>
        <w:pStyle w:val="Default"/>
        <w:jc w:val="center"/>
        <w:rPr>
          <w:b/>
        </w:rPr>
      </w:pPr>
    </w:p>
    <w:p w:rsidR="00501C2D" w:rsidRPr="007306DC" w:rsidRDefault="00501C2D" w:rsidP="007306DC">
      <w:pPr>
        <w:pStyle w:val="Default"/>
        <w:jc w:val="center"/>
        <w:rPr>
          <w:b/>
        </w:rPr>
      </w:pPr>
      <w:r w:rsidRPr="007306DC">
        <w:rPr>
          <w:b/>
        </w:rPr>
        <w:t>GEGEVEN REDENEN</w:t>
      </w:r>
    </w:p>
    <w:p w:rsidR="007306DC" w:rsidRPr="007306DC" w:rsidRDefault="007306DC" w:rsidP="007306DC">
      <w:pPr>
        <w:pStyle w:val="Default"/>
        <w:jc w:val="center"/>
        <w:rPr>
          <w:b/>
        </w:rPr>
      </w:pPr>
    </w:p>
    <w:p w:rsidR="00501C2D" w:rsidRPr="007306DC" w:rsidRDefault="00501C2D" w:rsidP="007306DC">
      <w:pPr>
        <w:pStyle w:val="Default"/>
        <w:jc w:val="center"/>
        <w:rPr>
          <w:b/>
        </w:rPr>
      </w:pPr>
      <w:r w:rsidRPr="007306DC">
        <w:rPr>
          <w:b/>
        </w:rPr>
        <w:t>EEN THESIS INGEDIEND IN GEDEELTELIJKE VERVULLING VAN DE EISEN</w:t>
      </w:r>
    </w:p>
    <w:p w:rsidR="00501C2D" w:rsidRPr="007306DC" w:rsidRDefault="00501C2D" w:rsidP="007306DC">
      <w:pPr>
        <w:pStyle w:val="Default"/>
        <w:jc w:val="center"/>
        <w:rPr>
          <w:b/>
        </w:rPr>
      </w:pPr>
      <w:r w:rsidRPr="007306DC">
        <w:rPr>
          <w:b/>
        </w:rPr>
        <w:t>VOOR DE GRAAD "LICENTIAAT IN GODGELEERDHEID"</w:t>
      </w:r>
    </w:p>
    <w:p w:rsidR="00501C2D" w:rsidRPr="007306DC" w:rsidRDefault="00501C2D" w:rsidP="007306DC">
      <w:pPr>
        <w:pStyle w:val="Default"/>
        <w:jc w:val="center"/>
        <w:rPr>
          <w:b/>
        </w:rPr>
      </w:pPr>
      <w:r w:rsidRPr="007306DC">
        <w:rPr>
          <w:b/>
        </w:rPr>
        <w:t>IN HET DEPARTEMENT KERKGESCHIEDENIS</w:t>
      </w:r>
    </w:p>
    <w:p w:rsidR="007306DC" w:rsidRPr="007306DC" w:rsidRDefault="007306DC" w:rsidP="007306DC">
      <w:pPr>
        <w:pStyle w:val="Default"/>
        <w:jc w:val="center"/>
        <w:rPr>
          <w:b/>
        </w:rPr>
      </w:pPr>
    </w:p>
    <w:p w:rsidR="00501C2D" w:rsidRPr="007306DC" w:rsidRDefault="00501C2D" w:rsidP="007306DC">
      <w:pPr>
        <w:pStyle w:val="Default"/>
        <w:jc w:val="center"/>
        <w:rPr>
          <w:b/>
        </w:rPr>
      </w:pPr>
      <w:r w:rsidRPr="007306DC">
        <w:rPr>
          <w:b/>
        </w:rPr>
        <w:t>BEGELEIDER: PROF. DRS. ANDREAS J. BECK</w:t>
      </w:r>
    </w:p>
    <w:p w:rsidR="007306DC" w:rsidRPr="007306DC" w:rsidRDefault="007306DC" w:rsidP="007306DC">
      <w:pPr>
        <w:pStyle w:val="Default"/>
        <w:jc w:val="center"/>
        <w:rPr>
          <w:b/>
        </w:rPr>
      </w:pPr>
    </w:p>
    <w:p w:rsidR="00501C2D" w:rsidRPr="007306DC" w:rsidRDefault="00501C2D" w:rsidP="007306DC">
      <w:pPr>
        <w:pStyle w:val="Default"/>
        <w:jc w:val="center"/>
        <w:rPr>
          <w:b/>
          <w:sz w:val="28"/>
          <w:szCs w:val="28"/>
        </w:rPr>
      </w:pPr>
      <w:r w:rsidRPr="007306DC">
        <w:rPr>
          <w:b/>
          <w:sz w:val="28"/>
          <w:szCs w:val="28"/>
        </w:rPr>
        <w:t>RON VAN DER POLL</w:t>
      </w:r>
    </w:p>
    <w:p w:rsidR="007306DC" w:rsidRPr="007306DC" w:rsidRDefault="007306DC" w:rsidP="007306DC">
      <w:pPr>
        <w:pStyle w:val="Default"/>
        <w:jc w:val="center"/>
        <w:rPr>
          <w:b/>
        </w:rPr>
      </w:pPr>
    </w:p>
    <w:p w:rsidR="00501C2D" w:rsidRPr="007306DC" w:rsidRDefault="00501C2D" w:rsidP="007306DC">
      <w:pPr>
        <w:pStyle w:val="Default"/>
        <w:jc w:val="center"/>
        <w:rPr>
          <w:b/>
        </w:rPr>
      </w:pPr>
      <w:r w:rsidRPr="007306DC">
        <w:rPr>
          <w:b/>
        </w:rPr>
        <w:t>HEVERLEE - LEUVEN, BELGIË</w:t>
      </w:r>
    </w:p>
    <w:p w:rsidR="007306DC" w:rsidRPr="007306DC" w:rsidRDefault="007306DC" w:rsidP="007306DC">
      <w:pPr>
        <w:pStyle w:val="Default"/>
        <w:jc w:val="center"/>
        <w:rPr>
          <w:b/>
        </w:rPr>
      </w:pPr>
    </w:p>
    <w:p w:rsidR="00501C2D" w:rsidRPr="007306DC" w:rsidRDefault="00501C2D" w:rsidP="007306DC">
      <w:pPr>
        <w:pStyle w:val="Default"/>
        <w:jc w:val="center"/>
        <w:rPr>
          <w:b/>
        </w:rPr>
      </w:pPr>
      <w:r w:rsidRPr="007306DC">
        <w:rPr>
          <w:b/>
        </w:rPr>
        <w:t>FEBRUARI 2003 2</w:t>
      </w:r>
    </w:p>
    <w:p w:rsidR="00501C2D" w:rsidRPr="007306DC" w:rsidRDefault="00501C2D" w:rsidP="007306DC">
      <w:pPr>
        <w:pStyle w:val="Default"/>
        <w:jc w:val="center"/>
        <w:rPr>
          <w:color w:val="auto"/>
        </w:rPr>
      </w:pPr>
    </w:p>
    <w:p w:rsidR="00501C2D" w:rsidRPr="007306DC" w:rsidRDefault="00501C2D" w:rsidP="007306DC">
      <w:pPr>
        <w:pStyle w:val="Default"/>
        <w:pageBreakBefore/>
        <w:jc w:val="center"/>
        <w:rPr>
          <w:color w:val="auto"/>
        </w:rPr>
      </w:pPr>
      <w:r w:rsidRPr="007306DC">
        <w:rPr>
          <w:color w:val="auto"/>
        </w:rPr>
        <w:lastRenderedPageBreak/>
        <w:t>INHOUDSTAFEL</w:t>
      </w:r>
    </w:p>
    <w:p w:rsidR="00501C2D" w:rsidRPr="007306DC" w:rsidRDefault="00501C2D" w:rsidP="007306DC">
      <w:pPr>
        <w:pStyle w:val="Default"/>
        <w:rPr>
          <w:color w:val="auto"/>
        </w:rPr>
      </w:pPr>
      <w:r w:rsidRPr="007306DC">
        <w:rPr>
          <w:color w:val="auto"/>
        </w:rPr>
        <w:t>1 Inleiding 3</w:t>
      </w:r>
    </w:p>
    <w:p w:rsidR="007306DC" w:rsidRDefault="007306DC" w:rsidP="007306DC">
      <w:pPr>
        <w:pStyle w:val="Default"/>
        <w:rPr>
          <w:color w:val="auto"/>
        </w:rPr>
      </w:pPr>
    </w:p>
    <w:p w:rsidR="00501C2D" w:rsidRPr="007306DC" w:rsidRDefault="00501C2D" w:rsidP="007306DC">
      <w:pPr>
        <w:pStyle w:val="Default"/>
        <w:rPr>
          <w:b/>
          <w:color w:val="auto"/>
        </w:rPr>
      </w:pPr>
      <w:r w:rsidRPr="007306DC">
        <w:rPr>
          <w:b/>
          <w:color w:val="auto"/>
        </w:rPr>
        <w:t>2 Historisch kader, literatuur en canon van redenen 12</w:t>
      </w:r>
    </w:p>
    <w:p w:rsidR="00501C2D" w:rsidRPr="007306DC" w:rsidRDefault="00501C2D" w:rsidP="007306DC">
      <w:pPr>
        <w:pStyle w:val="Default"/>
        <w:rPr>
          <w:color w:val="auto"/>
        </w:rPr>
      </w:pPr>
      <w:r w:rsidRPr="007306DC">
        <w:rPr>
          <w:color w:val="auto"/>
        </w:rPr>
        <w:t>2.1 Beknopte geschiedenis van Noord-Afrika 12</w:t>
      </w:r>
    </w:p>
    <w:p w:rsidR="00501C2D" w:rsidRPr="007306DC" w:rsidRDefault="00501C2D" w:rsidP="007306DC">
      <w:pPr>
        <w:pStyle w:val="Default"/>
        <w:rPr>
          <w:color w:val="auto"/>
        </w:rPr>
      </w:pPr>
      <w:r w:rsidRPr="007306DC">
        <w:rPr>
          <w:color w:val="auto"/>
        </w:rPr>
        <w:t>2.1.1 De Feniciërs (10e eeuw v. Chr. - 146 v. Chr.) 12</w:t>
      </w:r>
    </w:p>
    <w:p w:rsidR="00501C2D" w:rsidRPr="007306DC" w:rsidRDefault="00501C2D" w:rsidP="007306DC">
      <w:pPr>
        <w:pStyle w:val="Default"/>
        <w:rPr>
          <w:color w:val="auto"/>
        </w:rPr>
      </w:pPr>
      <w:r w:rsidRPr="007306DC">
        <w:rPr>
          <w:color w:val="auto"/>
        </w:rPr>
        <w:t>2.1.2 De Romeinen (146 v. Chr. - 429 n. Chr.) 13</w:t>
      </w:r>
    </w:p>
    <w:p w:rsidR="00501C2D" w:rsidRPr="007306DC" w:rsidRDefault="00501C2D" w:rsidP="007306DC">
      <w:pPr>
        <w:pStyle w:val="Default"/>
        <w:rPr>
          <w:color w:val="auto"/>
        </w:rPr>
      </w:pPr>
      <w:r w:rsidRPr="007306DC">
        <w:rPr>
          <w:color w:val="auto"/>
        </w:rPr>
        <w:t>2.1.2.1 Het donatisme 13</w:t>
      </w:r>
    </w:p>
    <w:p w:rsidR="00501C2D" w:rsidRPr="007306DC" w:rsidRDefault="00501C2D" w:rsidP="007306DC">
      <w:pPr>
        <w:pStyle w:val="Default"/>
        <w:rPr>
          <w:color w:val="auto"/>
        </w:rPr>
      </w:pPr>
      <w:r w:rsidRPr="007306DC">
        <w:rPr>
          <w:color w:val="auto"/>
        </w:rPr>
        <w:t>2.1.3 De Vandalen (429 – 533) 14</w:t>
      </w:r>
    </w:p>
    <w:p w:rsidR="00501C2D" w:rsidRPr="007306DC" w:rsidRDefault="00501C2D" w:rsidP="007306DC">
      <w:pPr>
        <w:pStyle w:val="Default"/>
        <w:rPr>
          <w:color w:val="auto"/>
        </w:rPr>
      </w:pPr>
      <w:r w:rsidRPr="007306DC">
        <w:rPr>
          <w:color w:val="auto"/>
        </w:rPr>
        <w:t>2.1.4 De Byzantijnen (533 – 649) 14</w:t>
      </w:r>
    </w:p>
    <w:p w:rsidR="00501C2D" w:rsidRPr="007306DC" w:rsidRDefault="00501C2D" w:rsidP="007306DC">
      <w:pPr>
        <w:pStyle w:val="Default"/>
        <w:rPr>
          <w:color w:val="auto"/>
        </w:rPr>
      </w:pPr>
      <w:r w:rsidRPr="007306DC">
        <w:rPr>
          <w:color w:val="auto"/>
        </w:rPr>
        <w:t>2.1.5 De Arabieren (649 - eind 12e eeuw) 15</w:t>
      </w:r>
    </w:p>
    <w:p w:rsidR="00501C2D" w:rsidRPr="007306DC" w:rsidRDefault="00501C2D" w:rsidP="007306DC">
      <w:pPr>
        <w:pStyle w:val="Default"/>
        <w:rPr>
          <w:color w:val="auto"/>
        </w:rPr>
      </w:pPr>
      <w:r w:rsidRPr="007306DC">
        <w:rPr>
          <w:color w:val="auto"/>
        </w:rPr>
        <w:t>2.2 De onderzoeksliteratuur 16</w:t>
      </w:r>
    </w:p>
    <w:p w:rsidR="00501C2D" w:rsidRPr="007306DC" w:rsidRDefault="00501C2D" w:rsidP="007306DC">
      <w:pPr>
        <w:pStyle w:val="Default"/>
        <w:rPr>
          <w:color w:val="auto"/>
        </w:rPr>
      </w:pPr>
      <w:r w:rsidRPr="007306DC">
        <w:rPr>
          <w:color w:val="auto"/>
        </w:rPr>
        <w:t>2.3 Inventaris van de redenen 19</w:t>
      </w:r>
    </w:p>
    <w:p w:rsidR="00501C2D" w:rsidRPr="007306DC" w:rsidRDefault="00501C2D" w:rsidP="007306DC">
      <w:pPr>
        <w:pStyle w:val="Default"/>
        <w:rPr>
          <w:color w:val="auto"/>
        </w:rPr>
      </w:pPr>
      <w:r w:rsidRPr="007306DC">
        <w:rPr>
          <w:color w:val="auto"/>
        </w:rPr>
        <w:t>2.4 Schema van de hoofdredenen 23</w:t>
      </w:r>
    </w:p>
    <w:p w:rsidR="007306DC" w:rsidRPr="007306DC" w:rsidRDefault="007306DC" w:rsidP="007306DC">
      <w:pPr>
        <w:pStyle w:val="Default"/>
        <w:rPr>
          <w:b/>
          <w:color w:val="auto"/>
        </w:rPr>
      </w:pPr>
    </w:p>
    <w:p w:rsidR="00501C2D" w:rsidRPr="007306DC" w:rsidRDefault="00501C2D" w:rsidP="007306DC">
      <w:pPr>
        <w:pStyle w:val="Default"/>
        <w:rPr>
          <w:b/>
          <w:color w:val="auto"/>
        </w:rPr>
      </w:pPr>
      <w:r w:rsidRPr="007306DC">
        <w:rPr>
          <w:b/>
          <w:color w:val="auto"/>
        </w:rPr>
        <w:t>3 Analyse van de hoofdredenen 24</w:t>
      </w:r>
    </w:p>
    <w:p w:rsidR="00501C2D" w:rsidRPr="007306DC" w:rsidRDefault="00501C2D" w:rsidP="007306DC">
      <w:pPr>
        <w:pStyle w:val="Default"/>
        <w:rPr>
          <w:color w:val="auto"/>
        </w:rPr>
      </w:pPr>
      <w:r w:rsidRPr="007306DC">
        <w:rPr>
          <w:color w:val="auto"/>
        </w:rPr>
        <w:t>3.1 De donatistische strijd 24</w:t>
      </w:r>
    </w:p>
    <w:p w:rsidR="00501C2D" w:rsidRPr="007306DC" w:rsidRDefault="00501C2D" w:rsidP="007306DC">
      <w:pPr>
        <w:pStyle w:val="Default"/>
        <w:rPr>
          <w:color w:val="auto"/>
        </w:rPr>
      </w:pPr>
      <w:r w:rsidRPr="007306DC">
        <w:rPr>
          <w:color w:val="auto"/>
        </w:rPr>
        <w:t>3.1.1 Beschrijving 24</w:t>
      </w:r>
    </w:p>
    <w:p w:rsidR="00501C2D" w:rsidRPr="007306DC" w:rsidRDefault="00501C2D" w:rsidP="007306DC">
      <w:pPr>
        <w:pStyle w:val="Default"/>
        <w:rPr>
          <w:color w:val="auto"/>
        </w:rPr>
      </w:pPr>
      <w:r w:rsidRPr="007306DC">
        <w:rPr>
          <w:color w:val="auto"/>
        </w:rPr>
        <w:t>3.1.2 Beoordeling 26</w:t>
      </w:r>
    </w:p>
    <w:p w:rsidR="00501C2D" w:rsidRPr="007306DC" w:rsidRDefault="00501C2D" w:rsidP="007306DC">
      <w:pPr>
        <w:pStyle w:val="Default"/>
        <w:rPr>
          <w:color w:val="auto"/>
        </w:rPr>
      </w:pPr>
      <w:r w:rsidRPr="007306DC">
        <w:rPr>
          <w:color w:val="auto"/>
        </w:rPr>
        <w:t>3.2 "De berbers zijn nooit bereikt” 30</w:t>
      </w:r>
    </w:p>
    <w:p w:rsidR="00501C2D" w:rsidRPr="007306DC" w:rsidRDefault="00501C2D" w:rsidP="007306DC">
      <w:pPr>
        <w:pStyle w:val="Default"/>
        <w:rPr>
          <w:color w:val="auto"/>
        </w:rPr>
      </w:pPr>
      <w:r w:rsidRPr="007306DC">
        <w:rPr>
          <w:color w:val="auto"/>
        </w:rPr>
        <w:t>3.2.1 Beschrijving 30</w:t>
      </w:r>
    </w:p>
    <w:p w:rsidR="00501C2D" w:rsidRPr="007306DC" w:rsidRDefault="00501C2D" w:rsidP="007306DC">
      <w:pPr>
        <w:pStyle w:val="Default"/>
        <w:rPr>
          <w:color w:val="auto"/>
        </w:rPr>
      </w:pPr>
      <w:r w:rsidRPr="007306DC">
        <w:rPr>
          <w:color w:val="auto"/>
        </w:rPr>
        <w:t>3.2.1.1 Evangelisatie gelijkgesteld met romanisatie 31</w:t>
      </w:r>
    </w:p>
    <w:p w:rsidR="00501C2D" w:rsidRPr="007306DC" w:rsidRDefault="00501C2D" w:rsidP="007306DC">
      <w:pPr>
        <w:pStyle w:val="Default"/>
        <w:rPr>
          <w:color w:val="auto"/>
        </w:rPr>
      </w:pPr>
      <w:r w:rsidRPr="007306DC">
        <w:rPr>
          <w:color w:val="auto"/>
        </w:rPr>
        <w:t>3.2.1.2 Geen eigen Bijbel en liturgie 33</w:t>
      </w:r>
    </w:p>
    <w:p w:rsidR="00501C2D" w:rsidRPr="007306DC" w:rsidRDefault="00501C2D" w:rsidP="007306DC">
      <w:pPr>
        <w:pStyle w:val="Default"/>
        <w:rPr>
          <w:color w:val="auto"/>
        </w:rPr>
      </w:pPr>
      <w:r w:rsidRPr="007306DC">
        <w:rPr>
          <w:color w:val="auto"/>
        </w:rPr>
        <w:t>3.2.1.3 Verschillen tussen berbers en Romeinen 34</w:t>
      </w:r>
    </w:p>
    <w:p w:rsidR="00501C2D" w:rsidRPr="007306DC" w:rsidRDefault="00501C2D" w:rsidP="007306DC">
      <w:pPr>
        <w:pStyle w:val="Default"/>
        <w:rPr>
          <w:color w:val="auto"/>
        </w:rPr>
      </w:pPr>
      <w:r w:rsidRPr="007306DC">
        <w:rPr>
          <w:color w:val="auto"/>
        </w:rPr>
        <w:t>3.2.1.4 Geen eigen volkskerk 35</w:t>
      </w:r>
    </w:p>
    <w:p w:rsidR="00501C2D" w:rsidRPr="007306DC" w:rsidRDefault="00501C2D" w:rsidP="007306DC">
      <w:pPr>
        <w:pStyle w:val="Default"/>
        <w:rPr>
          <w:color w:val="auto"/>
        </w:rPr>
      </w:pPr>
      <w:r w:rsidRPr="007306DC">
        <w:rPr>
          <w:color w:val="auto"/>
        </w:rPr>
        <w:t>3.2.1.5 Samenvatting 36</w:t>
      </w:r>
    </w:p>
    <w:p w:rsidR="00501C2D" w:rsidRPr="007306DC" w:rsidRDefault="00501C2D" w:rsidP="007306DC">
      <w:pPr>
        <w:pStyle w:val="Default"/>
        <w:rPr>
          <w:color w:val="auto"/>
        </w:rPr>
      </w:pPr>
      <w:r w:rsidRPr="007306DC">
        <w:rPr>
          <w:color w:val="auto"/>
        </w:rPr>
        <w:t>3.2.2 Beoordeling 36</w:t>
      </w:r>
    </w:p>
    <w:p w:rsidR="00501C2D" w:rsidRPr="007306DC" w:rsidRDefault="00501C2D" w:rsidP="007306DC">
      <w:pPr>
        <w:pStyle w:val="Default"/>
        <w:rPr>
          <w:color w:val="auto"/>
        </w:rPr>
      </w:pPr>
      <w:r w:rsidRPr="007306DC">
        <w:rPr>
          <w:color w:val="auto"/>
        </w:rPr>
        <w:t>3.3 Het arianisme van de Vandalen 49</w:t>
      </w:r>
    </w:p>
    <w:p w:rsidR="00501C2D" w:rsidRPr="007306DC" w:rsidRDefault="00501C2D" w:rsidP="007306DC">
      <w:pPr>
        <w:pStyle w:val="Default"/>
        <w:rPr>
          <w:color w:val="auto"/>
        </w:rPr>
      </w:pPr>
      <w:r w:rsidRPr="007306DC">
        <w:rPr>
          <w:color w:val="auto"/>
        </w:rPr>
        <w:t>3.3.1 Beschrijving 49</w:t>
      </w:r>
    </w:p>
    <w:p w:rsidR="00501C2D" w:rsidRPr="007306DC" w:rsidRDefault="00501C2D" w:rsidP="007306DC">
      <w:pPr>
        <w:pStyle w:val="Default"/>
        <w:rPr>
          <w:color w:val="auto"/>
        </w:rPr>
      </w:pPr>
      <w:r w:rsidRPr="007306DC">
        <w:rPr>
          <w:color w:val="auto"/>
        </w:rPr>
        <w:t>3.3.2 Beoordeling 50</w:t>
      </w:r>
    </w:p>
    <w:p w:rsidR="00501C2D" w:rsidRPr="007306DC" w:rsidRDefault="00501C2D" w:rsidP="007306DC">
      <w:pPr>
        <w:pStyle w:val="Default"/>
        <w:rPr>
          <w:color w:val="auto"/>
        </w:rPr>
      </w:pPr>
      <w:r w:rsidRPr="007306DC">
        <w:rPr>
          <w:color w:val="auto"/>
        </w:rPr>
        <w:t>3.4 De Arabische moslims 57</w:t>
      </w:r>
    </w:p>
    <w:p w:rsidR="00501C2D" w:rsidRPr="007306DC" w:rsidRDefault="00501C2D" w:rsidP="007306DC">
      <w:pPr>
        <w:pStyle w:val="Default"/>
        <w:rPr>
          <w:color w:val="auto"/>
        </w:rPr>
      </w:pPr>
      <w:r w:rsidRPr="007306DC">
        <w:rPr>
          <w:color w:val="auto"/>
        </w:rPr>
        <w:t>3.4.1 Beschrijving 57</w:t>
      </w:r>
    </w:p>
    <w:p w:rsidR="00501C2D" w:rsidRPr="007306DC" w:rsidRDefault="00501C2D" w:rsidP="007306DC">
      <w:pPr>
        <w:pStyle w:val="Default"/>
        <w:rPr>
          <w:color w:val="auto"/>
        </w:rPr>
      </w:pPr>
      <w:r w:rsidRPr="007306DC">
        <w:rPr>
          <w:color w:val="auto"/>
        </w:rPr>
        <w:t>3.4.2 Beoordeling 58</w:t>
      </w:r>
    </w:p>
    <w:p w:rsidR="00501C2D" w:rsidRPr="007306DC" w:rsidRDefault="00501C2D" w:rsidP="007306DC">
      <w:pPr>
        <w:pStyle w:val="Default"/>
        <w:rPr>
          <w:color w:val="auto"/>
        </w:rPr>
      </w:pPr>
      <w:r w:rsidRPr="007306DC">
        <w:rPr>
          <w:color w:val="auto"/>
        </w:rPr>
        <w:t>3.5 De zwakheid van de kerk 65</w:t>
      </w:r>
    </w:p>
    <w:p w:rsidR="00501C2D" w:rsidRPr="007306DC" w:rsidRDefault="00501C2D" w:rsidP="007306DC">
      <w:pPr>
        <w:pStyle w:val="Default"/>
        <w:rPr>
          <w:color w:val="auto"/>
        </w:rPr>
      </w:pPr>
      <w:r w:rsidRPr="007306DC">
        <w:rPr>
          <w:color w:val="auto"/>
        </w:rPr>
        <w:t>3.5.1 Beschrijvíng 65</w:t>
      </w:r>
    </w:p>
    <w:p w:rsidR="00501C2D" w:rsidRPr="007306DC" w:rsidRDefault="00501C2D" w:rsidP="007306DC">
      <w:pPr>
        <w:pStyle w:val="Default"/>
        <w:rPr>
          <w:color w:val="auto"/>
        </w:rPr>
      </w:pPr>
      <w:r w:rsidRPr="007306DC">
        <w:rPr>
          <w:color w:val="auto"/>
        </w:rPr>
        <w:t>3.5.2 Beoordeling 67</w:t>
      </w:r>
    </w:p>
    <w:p w:rsidR="00501C2D" w:rsidRPr="007306DC" w:rsidRDefault="00501C2D" w:rsidP="007306DC">
      <w:pPr>
        <w:pStyle w:val="Default"/>
        <w:rPr>
          <w:color w:val="auto"/>
        </w:rPr>
      </w:pPr>
      <w:r w:rsidRPr="007306DC">
        <w:rPr>
          <w:color w:val="auto"/>
        </w:rPr>
        <w:t>3.6 De nomaden 73</w:t>
      </w:r>
    </w:p>
    <w:p w:rsidR="00501C2D" w:rsidRPr="007306DC" w:rsidRDefault="00501C2D" w:rsidP="007306DC">
      <w:pPr>
        <w:pStyle w:val="Default"/>
        <w:rPr>
          <w:color w:val="auto"/>
        </w:rPr>
      </w:pPr>
      <w:r w:rsidRPr="007306DC">
        <w:rPr>
          <w:color w:val="auto"/>
        </w:rPr>
        <w:t>3.6.1 Beschrijving 73</w:t>
      </w:r>
    </w:p>
    <w:p w:rsidR="00501C2D" w:rsidRPr="007306DC" w:rsidRDefault="00501C2D" w:rsidP="007306DC">
      <w:pPr>
        <w:pStyle w:val="Default"/>
        <w:rPr>
          <w:color w:val="auto"/>
        </w:rPr>
      </w:pPr>
      <w:r w:rsidRPr="007306DC">
        <w:rPr>
          <w:color w:val="auto"/>
        </w:rPr>
        <w:t>3.6.2 Beoordeling 74</w:t>
      </w:r>
    </w:p>
    <w:p w:rsidR="007306DC" w:rsidRDefault="007306DC" w:rsidP="007306DC">
      <w:pPr>
        <w:pStyle w:val="Default"/>
        <w:rPr>
          <w:color w:val="auto"/>
        </w:rPr>
      </w:pPr>
    </w:p>
    <w:p w:rsidR="00501C2D" w:rsidRPr="007306DC" w:rsidRDefault="00501C2D" w:rsidP="007306DC">
      <w:pPr>
        <w:pStyle w:val="Default"/>
        <w:rPr>
          <w:color w:val="auto"/>
        </w:rPr>
      </w:pPr>
      <w:r w:rsidRPr="007306DC">
        <w:rPr>
          <w:color w:val="auto"/>
        </w:rPr>
        <w:t>4 Eindconclusie en evaluatie 77</w:t>
      </w:r>
    </w:p>
    <w:p w:rsidR="007306DC" w:rsidRDefault="007306DC" w:rsidP="007306DC">
      <w:pPr>
        <w:pStyle w:val="Default"/>
        <w:rPr>
          <w:color w:val="auto"/>
        </w:rPr>
      </w:pPr>
    </w:p>
    <w:p w:rsidR="00501C2D" w:rsidRPr="007306DC" w:rsidRDefault="00501C2D" w:rsidP="007306DC">
      <w:pPr>
        <w:pStyle w:val="Default"/>
        <w:rPr>
          <w:color w:val="auto"/>
        </w:rPr>
      </w:pPr>
      <w:r w:rsidRPr="007306DC">
        <w:rPr>
          <w:color w:val="auto"/>
        </w:rPr>
        <w:t>5 Bibliografie 90 3</w:t>
      </w:r>
    </w:p>
    <w:p w:rsidR="00501C2D" w:rsidRPr="007306DC" w:rsidRDefault="00501C2D" w:rsidP="007306DC">
      <w:pPr>
        <w:pStyle w:val="Default"/>
        <w:jc w:val="center"/>
        <w:rPr>
          <w:color w:val="auto"/>
        </w:rPr>
      </w:pPr>
    </w:p>
    <w:p w:rsidR="00501C2D" w:rsidRPr="007306DC" w:rsidRDefault="00501C2D" w:rsidP="007306DC">
      <w:pPr>
        <w:pStyle w:val="Default"/>
        <w:pageBreakBefore/>
        <w:jc w:val="center"/>
        <w:rPr>
          <w:color w:val="auto"/>
        </w:rPr>
      </w:pPr>
      <w:r w:rsidRPr="007306DC">
        <w:rPr>
          <w:b/>
          <w:bCs/>
          <w:color w:val="auto"/>
        </w:rPr>
        <w:lastRenderedPageBreak/>
        <w:t>De verdwenen kerk van Noord-Afrika</w:t>
      </w:r>
    </w:p>
    <w:p w:rsidR="007306DC" w:rsidRDefault="007306DC" w:rsidP="007306DC">
      <w:pPr>
        <w:pStyle w:val="Default"/>
        <w:jc w:val="both"/>
        <w:rPr>
          <w:b/>
          <w:bCs/>
          <w:color w:val="auto"/>
        </w:rPr>
      </w:pPr>
    </w:p>
    <w:p w:rsidR="00501C2D" w:rsidRPr="007306DC" w:rsidRDefault="00501C2D" w:rsidP="007306DC">
      <w:pPr>
        <w:pStyle w:val="Default"/>
        <w:jc w:val="both"/>
        <w:rPr>
          <w:color w:val="auto"/>
        </w:rPr>
      </w:pPr>
      <w:r w:rsidRPr="007306DC">
        <w:rPr>
          <w:b/>
          <w:bCs/>
          <w:color w:val="auto"/>
        </w:rPr>
        <w:t>1 Inleiding</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Het grote gebied in het noorden van het Afrikaanse continent was ooit van zeer grote betekenis voor de christelijke kerk1. In de eerste eeuwen na het rondgaan van Jezus Christus in Israël bevond zich in Noord-Afrika2 een ogenschijnlijk sterke en bloeiende kerk. Dit uitgestrekte ‘heidens’ gebied was grotendeels gekerstend en het bracht zelfs kerkvaders van formaat voort.3 In de zevende en achtste eeuw echter veroverden de Arabische moslims het gebied, en tot op de dag van vandaag, eeuwen later, is Noord-Afrika nog altijd vrijwel geheel islamitisch, terwijl er van de kerk weinig of niets meer te bespeuren valt. Hoe is deze ontwikkeling te verklaren?</w:t>
      </w:r>
    </w:p>
    <w:p w:rsidR="007306DC" w:rsidRDefault="007306DC" w:rsidP="007306DC">
      <w:pPr>
        <w:pStyle w:val="Default"/>
        <w:jc w:val="both"/>
      </w:pPr>
    </w:p>
    <w:p w:rsidR="00501C2D" w:rsidRPr="007306DC" w:rsidRDefault="00501C2D" w:rsidP="007306DC">
      <w:pPr>
        <w:pStyle w:val="Default"/>
        <w:jc w:val="both"/>
      </w:pPr>
      <w:r w:rsidRPr="007306DC">
        <w:t>1 Met ‘kerk’ bedoelen we in deze thesis ‘het geheel der christenheid’, door ons willekeurig ook ‘de christenheid’, ‘het christendom’ of ‘de christenen’ genoemd. Met ‘vroege kerk in (van) Noord-Afrika’ bedoelen we de totaliteit van de eerste christenheid in Noord-Afrika in de periode tussen haar opkomst in de 2e eeuw en haar verdwijning in de 12e eeuw, overeenkomstig hetgeen we weten over die eerste christenheid (zie verderop in deze inleiding).</w:t>
      </w:r>
    </w:p>
    <w:p w:rsidR="007306DC" w:rsidRDefault="007306DC" w:rsidP="007306DC">
      <w:pPr>
        <w:pStyle w:val="Default"/>
        <w:jc w:val="both"/>
      </w:pPr>
    </w:p>
    <w:p w:rsidR="00501C2D" w:rsidRPr="007306DC" w:rsidRDefault="00501C2D" w:rsidP="007306DC">
      <w:pPr>
        <w:pStyle w:val="Default"/>
        <w:jc w:val="both"/>
      </w:pPr>
      <w:r w:rsidRPr="007306DC">
        <w:t xml:space="preserve">2 ‘Noord-Afrika’ kan in het algemeen op twee manieren worden opgevat: ofwel is het het gehele gebied van Marokko tot en met Egypte, ofwel is het het gebied van Marokko tot aan de Libische woestijn, die een natuurlijke grens tussen Libië en Egypte vormt. Dit laatste gebied wordt ook wel ‘Mag(h)reb’ of ‘Mag(h)rib’, en soms ‘Barbarije’ genoemd. In deze thesis zal steeds de tweede betekenis bedoeld zijn. In Egypte bestaat een deel van de kerk nog altijd, en wel in de vorm van de Koptische kerk. Het gaat ons in deze thesis om de </w:t>
      </w:r>
      <w:r w:rsidRPr="007306DC">
        <w:rPr>
          <w:i/>
          <w:iCs/>
        </w:rPr>
        <w:t xml:space="preserve">verdwenen </w:t>
      </w:r>
      <w:r w:rsidRPr="007306DC">
        <w:t>kerk en daarom zal Egypte buiten beschouwing gelaten worden. De grote Sahara vormt overigens de natuurlijke zuidgrens van ons gebied. De inheemse bewoners van Noord-Afrika zijn de berbers. In de oudere onderzoeksliteratuur wordt er soms van Moren gesproken. Deze term is echter dubbelzinnig en kan ook refereren aan de latere vermenging van Arabieren en berbers, die Noord-Afrika en Spanje bevolkt heeft.</w:t>
      </w:r>
    </w:p>
    <w:p w:rsidR="00501C2D" w:rsidRPr="007306DC" w:rsidRDefault="00501C2D" w:rsidP="007306DC">
      <w:pPr>
        <w:pStyle w:val="Default"/>
        <w:jc w:val="both"/>
      </w:pPr>
      <w:r w:rsidRPr="007306DC">
        <w:t xml:space="preserve">3 Zie voor een overzicht Tim Dowley, ed., </w:t>
      </w:r>
      <w:r w:rsidRPr="007306DC">
        <w:rPr>
          <w:i/>
          <w:iCs/>
        </w:rPr>
        <w:t>Handboek van de geschiedenis van het christendom</w:t>
      </w:r>
      <w:r w:rsidRPr="007306DC">
        <w:t>, bewerkt door Auke J. Jelsma (Den Haag: J.N. Voorhoeve, 1979), 196 - 203.</w:t>
      </w:r>
    </w:p>
    <w:p w:rsidR="00501C2D" w:rsidRPr="007306DC" w:rsidRDefault="00501C2D" w:rsidP="007306DC">
      <w:pPr>
        <w:pStyle w:val="Default"/>
        <w:jc w:val="both"/>
        <w:rPr>
          <w:color w:val="auto"/>
        </w:rPr>
      </w:pPr>
      <w:r w:rsidRPr="007306DC">
        <w:t xml:space="preserve">4 Anne van der Bijl, “Mag ik een alternatief bieden?” </w:t>
      </w:r>
      <w:r w:rsidRPr="007306DC">
        <w:rPr>
          <w:i/>
          <w:iCs/>
        </w:rPr>
        <w:t xml:space="preserve">Open Doors </w:t>
      </w:r>
      <w:r w:rsidRPr="007306DC">
        <w:t>338 (2002): 10.</w:t>
      </w:r>
    </w:p>
    <w:p w:rsidR="00501C2D" w:rsidRPr="007306DC" w:rsidRDefault="00501C2D" w:rsidP="007306DC">
      <w:pPr>
        <w:pStyle w:val="Default"/>
        <w:jc w:val="both"/>
        <w:rPr>
          <w:color w:val="auto"/>
        </w:rPr>
      </w:pP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 xml:space="preserve">In de maartuitgave van het jaar 2002 van het zendingsblaadje van de Nederlandse christelijke organisatie </w:t>
      </w:r>
      <w:r w:rsidRPr="007306DC">
        <w:rPr>
          <w:i/>
          <w:iCs/>
          <w:color w:val="auto"/>
        </w:rPr>
        <w:t>Open Doors</w:t>
      </w:r>
      <w:r w:rsidRPr="007306DC">
        <w:rPr>
          <w:color w:val="auto"/>
        </w:rPr>
        <w:t>, wordt over Noord-Afrika gezegd dat ‘het ooit de grootste theologen en kerkvaders voortbracht en het toneel was van grote opwekkingen, terwijl het nu het moeilijkste zendingsveld is’. Als antwoord op de vraag hoe de kerk van Noord-Afrika kon worden weggevaagd, worden in de eigen woorden van de Nederlandse auteur van het artikeltje4 zeven oorzaken samengevat die door de Afrikaan Dr. Tokumboh Adeyemo naar voren zijn gebracht:</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1) Al het kerkenwerk werd gedaan door hoogopgeleide professionals. Van het priesterschap van alle gelovigen had men nooit gehoord. 4</w:t>
      </w:r>
    </w:p>
    <w:p w:rsidR="00501C2D" w:rsidRPr="007306DC" w:rsidRDefault="00501C2D" w:rsidP="007306DC">
      <w:pPr>
        <w:pStyle w:val="Default"/>
        <w:pageBreakBefore/>
        <w:jc w:val="both"/>
        <w:rPr>
          <w:color w:val="auto"/>
        </w:rPr>
      </w:pPr>
      <w:r w:rsidRPr="007306DC">
        <w:rPr>
          <w:color w:val="auto"/>
        </w:rPr>
        <w:t>2) De christenen hadden liever ‘een dak boven hun hoofd’ dan ‘de Rots onder hun voeten’.</w:t>
      </w:r>
    </w:p>
    <w:p w:rsidR="00501C2D" w:rsidRPr="007306DC" w:rsidRDefault="00501C2D" w:rsidP="007306DC">
      <w:pPr>
        <w:pStyle w:val="Default"/>
        <w:jc w:val="both"/>
        <w:rPr>
          <w:color w:val="auto"/>
        </w:rPr>
      </w:pPr>
      <w:r w:rsidRPr="007306DC">
        <w:rPr>
          <w:color w:val="auto"/>
        </w:rPr>
        <w:t>3) Gedoogzucht kwam in de plaats van de wil om voor je christelijke principes uit te komen en er voor te lijden.</w:t>
      </w:r>
    </w:p>
    <w:p w:rsidR="00501C2D" w:rsidRPr="007306DC" w:rsidRDefault="00501C2D" w:rsidP="007306DC">
      <w:pPr>
        <w:pStyle w:val="Default"/>
        <w:jc w:val="both"/>
        <w:rPr>
          <w:color w:val="auto"/>
        </w:rPr>
      </w:pPr>
      <w:r w:rsidRPr="007306DC">
        <w:rPr>
          <w:color w:val="auto"/>
        </w:rPr>
        <w:t>4) De ‘leiders’ werden niet teruggefloten als zij een immoreel of ongeestelijk leven leidden.</w:t>
      </w:r>
    </w:p>
    <w:p w:rsidR="00501C2D" w:rsidRPr="007306DC" w:rsidRDefault="00501C2D" w:rsidP="007306DC">
      <w:pPr>
        <w:pStyle w:val="Default"/>
        <w:jc w:val="both"/>
        <w:rPr>
          <w:color w:val="auto"/>
        </w:rPr>
      </w:pPr>
      <w:r w:rsidRPr="007306DC">
        <w:rPr>
          <w:color w:val="auto"/>
        </w:rPr>
        <w:t>5) Zonder beschikbaarheid van het Woord van God kan het Koninkrijk van God zich eenvoudigweg niet uitbreiden.</w:t>
      </w:r>
    </w:p>
    <w:p w:rsidR="00501C2D" w:rsidRPr="007306DC" w:rsidRDefault="00501C2D" w:rsidP="007306DC">
      <w:pPr>
        <w:pStyle w:val="Default"/>
        <w:jc w:val="both"/>
        <w:rPr>
          <w:color w:val="auto"/>
        </w:rPr>
      </w:pPr>
      <w:r w:rsidRPr="007306DC">
        <w:rPr>
          <w:color w:val="auto"/>
        </w:rPr>
        <w:t>6) De kerk van Noord-Afrika was geen missionaire kerk. Zij droeg het geloof niet uit naar de rest van Afrika. Zij had geen passie voor verloren zielen.</w:t>
      </w:r>
    </w:p>
    <w:p w:rsidR="00501C2D" w:rsidRPr="007306DC" w:rsidRDefault="00501C2D" w:rsidP="007306DC">
      <w:pPr>
        <w:pStyle w:val="Default"/>
        <w:jc w:val="both"/>
        <w:rPr>
          <w:color w:val="auto"/>
        </w:rPr>
      </w:pPr>
      <w:r w:rsidRPr="007306DC">
        <w:rPr>
          <w:color w:val="auto"/>
        </w:rPr>
        <w:t>7) Zij verliet niet alles om Hem te volgen.</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 xml:space="preserve">In dit zendingsblaadje worden ons dus zeven oorzaken of redenen voorgehouden van het verdwijnen van de kerk. Zonder uitleg, verklaring of nader te raadplegen bronnen wordt dit zo als waarheid of </w:t>
      </w:r>
      <w:r w:rsidRPr="007306DC">
        <w:rPr>
          <w:i/>
          <w:iCs/>
          <w:color w:val="auto"/>
        </w:rPr>
        <w:t xml:space="preserve">feit </w:t>
      </w:r>
      <w:r w:rsidRPr="007306DC">
        <w:rPr>
          <w:color w:val="auto"/>
        </w:rPr>
        <w:t xml:space="preserve">gesteld. Merk ook op dat de Arabische verovering van Noord-Afrika en de uiteindelijke islamisering van het gebied hier zelfs niet genoemd wordt. De doorsnee lezer zal zich hier wellicht niet druk om maken, maar intussen wordt hem wel zonder meer een beeld – of beter gezegd: </w:t>
      </w:r>
      <w:r w:rsidRPr="007306DC">
        <w:rPr>
          <w:i/>
          <w:iCs/>
          <w:color w:val="auto"/>
        </w:rPr>
        <w:t xml:space="preserve">het </w:t>
      </w:r>
      <w:r w:rsidRPr="007306DC">
        <w:rPr>
          <w:color w:val="auto"/>
        </w:rPr>
        <w:t>beeld – opgedrongen van hoe de kerk is verdwenen.</w:t>
      </w:r>
    </w:p>
    <w:p w:rsidR="00501C2D" w:rsidRPr="007306DC" w:rsidRDefault="00501C2D" w:rsidP="007306DC">
      <w:pPr>
        <w:pStyle w:val="Default"/>
        <w:jc w:val="both"/>
        <w:rPr>
          <w:color w:val="auto"/>
        </w:rPr>
      </w:pPr>
      <w:r w:rsidRPr="007306DC">
        <w:rPr>
          <w:color w:val="auto"/>
        </w:rPr>
        <w:t xml:space="preserve">Voor de iets kritischere lezer zal dit niet volstaan en zal een dergelijk artikeltje juist vragen oproepen: Zijn dit </w:t>
      </w:r>
      <w:r w:rsidRPr="007306DC">
        <w:rPr>
          <w:i/>
          <w:iCs/>
          <w:color w:val="auto"/>
        </w:rPr>
        <w:t xml:space="preserve">de </w:t>
      </w:r>
      <w:r w:rsidRPr="007306DC">
        <w:rPr>
          <w:color w:val="auto"/>
        </w:rPr>
        <w:t>zeven redenen voor het verdwijnen van de kerk? Hoe weten we dit, zijn hier te raadplegen bronnen voor? Zijn er wellicht nog andere redenen? Zijn alle redenen even belangrijk? Als een dergelijke iets kritischere lezer enige moeite zou doen om hier iets meer over te weten te komen, zou hij na enig speurwerk terecht kunnen komen bij bijvoorbeeld een meer wetenschappelijk zendingsblad uit 1980. Hier zou hij dan kunnen lezen dat de auteur stelt dat de kerk in Noord-Afrika verdwenen is doordat zij er niet in geslaagd is om diepe wortels in de bodem van haar eigen gebied te verkrijgen, en wel om twee redenen: l) de kerk is nooit waarlijk inheems geworden 2) ze had geen doeltreffende zendingsdraagkracht onder de menigten die buiten de geïmporteerde Romeinse cultuur leefden.5</w:t>
      </w:r>
    </w:p>
    <w:p w:rsidR="007306DC" w:rsidRDefault="007306DC" w:rsidP="007306DC">
      <w:pPr>
        <w:pStyle w:val="Default"/>
        <w:jc w:val="both"/>
      </w:pPr>
    </w:p>
    <w:p w:rsidR="00501C2D" w:rsidRPr="007306DC" w:rsidRDefault="00501C2D" w:rsidP="007306DC">
      <w:pPr>
        <w:pStyle w:val="Default"/>
        <w:jc w:val="both"/>
        <w:rPr>
          <w:color w:val="auto"/>
        </w:rPr>
      </w:pPr>
      <w:r w:rsidRPr="007306DC">
        <w:t xml:space="preserve">5 Norman A. Horner, “Christianity in North Africa Today,” </w:t>
      </w:r>
      <w:r w:rsidRPr="007306DC">
        <w:rPr>
          <w:i/>
          <w:iCs/>
        </w:rPr>
        <w:t xml:space="preserve">Occasional Bulletin of Missionary Research </w:t>
      </w:r>
      <w:r w:rsidRPr="007306DC">
        <w:t>4 (1980): 83.</w:t>
      </w:r>
    </w:p>
    <w:p w:rsidR="007306DC" w:rsidRDefault="007306DC" w:rsidP="007306DC">
      <w:pPr>
        <w:pStyle w:val="Default"/>
        <w:jc w:val="both"/>
        <w:rPr>
          <w:color w:val="auto"/>
        </w:rPr>
      </w:pPr>
    </w:p>
    <w:p w:rsidR="007306DC" w:rsidRDefault="00501C2D" w:rsidP="007306DC">
      <w:pPr>
        <w:pStyle w:val="Default"/>
        <w:jc w:val="both"/>
        <w:rPr>
          <w:color w:val="auto"/>
        </w:rPr>
      </w:pPr>
      <w:r w:rsidRPr="007306DC">
        <w:rPr>
          <w:color w:val="auto"/>
        </w:rPr>
        <w:t xml:space="preserve">Hier bemerkt onze lezer dan dat er door de betreffende auteur Horner </w:t>
      </w:r>
      <w:r w:rsidRPr="007306DC">
        <w:rPr>
          <w:i/>
          <w:iCs/>
          <w:color w:val="auto"/>
        </w:rPr>
        <w:t xml:space="preserve">één oorzaak </w:t>
      </w:r>
      <w:r w:rsidRPr="007306DC">
        <w:rPr>
          <w:color w:val="auto"/>
        </w:rPr>
        <w:t xml:space="preserve">wordt genoemd, die terug te voeren valt op </w:t>
      </w:r>
      <w:r w:rsidRPr="007306DC">
        <w:rPr>
          <w:i/>
          <w:iCs/>
          <w:color w:val="auto"/>
        </w:rPr>
        <w:t>twee redenen</w:t>
      </w:r>
      <w:r w:rsidRPr="007306DC">
        <w:rPr>
          <w:color w:val="auto"/>
        </w:rPr>
        <w:t xml:space="preserve">. Formeel komt dit klaarblijkelijk niet overeen met de </w:t>
      </w:r>
      <w:r w:rsidRPr="007306DC">
        <w:rPr>
          <w:i/>
          <w:iCs/>
          <w:color w:val="auto"/>
        </w:rPr>
        <w:t xml:space="preserve">zeven redenen </w:t>
      </w:r>
      <w:r w:rsidRPr="007306DC">
        <w:rPr>
          <w:color w:val="auto"/>
        </w:rPr>
        <w:t>die hij eerder gelezen heeft. Bovendien ziet hij dat deze twee redenen niet in het blaadje van Open Doors genoemd zijn, hoewel ze nog het dichtst in de 5</w:t>
      </w:r>
      <w:r w:rsidR="007306DC">
        <w:rPr>
          <w:color w:val="auto"/>
        </w:rPr>
        <w:t xml:space="preserve"> </w:t>
      </w:r>
      <w:r w:rsidRPr="007306DC">
        <w:rPr>
          <w:color w:val="auto"/>
        </w:rPr>
        <w:t xml:space="preserve">buurt komen van reden 6: </w:t>
      </w:r>
    </w:p>
    <w:p w:rsidR="00501C2D" w:rsidRPr="007306DC" w:rsidRDefault="00501C2D" w:rsidP="007306DC">
      <w:pPr>
        <w:pStyle w:val="Default"/>
        <w:jc w:val="both"/>
        <w:rPr>
          <w:color w:val="auto"/>
        </w:rPr>
      </w:pPr>
      <w:r w:rsidRPr="007306DC">
        <w:rPr>
          <w:i/>
          <w:iCs/>
          <w:color w:val="auto"/>
        </w:rPr>
        <w:t>De kerk van Noord-Afrika was geen missionaire kerk. Zij droeg het geloof niet uit naar de rest van Afrika. Zij had geen passie voor verloren zielen</w:t>
      </w:r>
      <w:r w:rsidRPr="007306DC">
        <w:rPr>
          <w:color w:val="auto"/>
        </w:rPr>
        <w:t>. Als hij dan verder leest, merkt hij op dat de auteur zegt dat de kerk van Noord-Afrika de moslimverovering niet overleefd heeft, terwijl dit wel het geval was voor de Koptische kerk in Egypte of de Syrische en Armeense kerk in andere delen van het Midden Oosten. Hij leest ook nog dat de kerk van Noord-Afrika een Latijntalige kerk was, gecentreerd in de stedelijke gebieden, die al aan het vervallen was vanwege de donatistische controverse en andere disputen. De kerk had geen betekenisvolle opgang gemaakt in de plattelandsgebieden. Ze had ook geen vertaling voortgebracht van de Schrift in de taal van de berbers, de overheersende inheemse bevolking.6</w:t>
      </w:r>
    </w:p>
    <w:p w:rsidR="007306DC" w:rsidRDefault="007306DC" w:rsidP="007306DC">
      <w:pPr>
        <w:pStyle w:val="Default"/>
        <w:jc w:val="both"/>
      </w:pPr>
    </w:p>
    <w:p w:rsidR="007306DC" w:rsidRDefault="00501C2D" w:rsidP="007306DC">
      <w:pPr>
        <w:pStyle w:val="Default"/>
        <w:jc w:val="both"/>
      </w:pPr>
      <w:r w:rsidRPr="007306DC">
        <w:t>6 Ibid.</w:t>
      </w:r>
    </w:p>
    <w:p w:rsidR="00501C2D" w:rsidRPr="007306DC" w:rsidRDefault="00501C2D" w:rsidP="007306DC">
      <w:pPr>
        <w:pStyle w:val="Default"/>
        <w:jc w:val="both"/>
        <w:rPr>
          <w:color w:val="auto"/>
        </w:rPr>
      </w:pPr>
      <w:r w:rsidRPr="007306DC">
        <w:t>7 Ibid., (beide verwijzingen).</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 xml:space="preserve">Hier ziet hij dus dat de redenen niet beperkt blijven tot twee, maar dat er nog aanvullende redenen genoemd worden: 1) de moslimverovering 2) de Latijnse kerktaal 3) centrering in de stedelijke gebieden, nauwelijks opgang in de plattelandsgebieden 4) de donatistische controverse en andere disputen 5) geen vertaling van de Schrift in het Berber. Legt hij deze aanvullende redenen naast die van het eerste artikeltje, dan herkent hij alleen het ontbreken van een Schriftvertaling: reden 5 - </w:t>
      </w:r>
      <w:r w:rsidRPr="007306DC">
        <w:rPr>
          <w:i/>
          <w:iCs/>
          <w:color w:val="auto"/>
        </w:rPr>
        <w:t xml:space="preserve">zonder beschikbaarheid van het Woord van God kan het Koninkrijk van God zich eenvoudigweg niet uitbreiden. </w:t>
      </w:r>
      <w:r w:rsidRPr="007306DC">
        <w:rPr>
          <w:color w:val="auto"/>
        </w:rPr>
        <w:t xml:space="preserve">Inmiddels heeft hij dus in totaliteit al veel meer dan zeven redenen, en bovendien maakt hij uit het laatste artikel op dat er blijkbaar sprake moet zijn van één </w:t>
      </w:r>
      <w:r w:rsidRPr="007306DC">
        <w:rPr>
          <w:i/>
          <w:iCs/>
          <w:color w:val="auto"/>
        </w:rPr>
        <w:t>oorzaak</w:t>
      </w:r>
      <w:r w:rsidRPr="007306DC">
        <w:rPr>
          <w:color w:val="auto"/>
        </w:rPr>
        <w:t xml:space="preserve">, twee </w:t>
      </w:r>
      <w:r w:rsidRPr="007306DC">
        <w:rPr>
          <w:i/>
          <w:iCs/>
          <w:color w:val="auto"/>
        </w:rPr>
        <w:t xml:space="preserve">hoofdredenen </w:t>
      </w:r>
      <w:r w:rsidRPr="007306DC">
        <w:rPr>
          <w:color w:val="auto"/>
        </w:rPr>
        <w:t xml:space="preserve">en een aantal </w:t>
      </w:r>
      <w:r w:rsidRPr="007306DC">
        <w:rPr>
          <w:i/>
          <w:iCs/>
          <w:color w:val="auto"/>
        </w:rPr>
        <w:t xml:space="preserve">aanvullende </w:t>
      </w:r>
      <w:r w:rsidRPr="007306DC">
        <w:rPr>
          <w:color w:val="auto"/>
        </w:rPr>
        <w:t>redenen.</w:t>
      </w:r>
    </w:p>
    <w:p w:rsidR="007306DC" w:rsidRDefault="00501C2D" w:rsidP="007306DC">
      <w:pPr>
        <w:pStyle w:val="Default"/>
        <w:jc w:val="both"/>
        <w:rPr>
          <w:color w:val="auto"/>
        </w:rPr>
      </w:pPr>
      <w:r w:rsidRPr="007306DC">
        <w:rPr>
          <w:color w:val="auto"/>
        </w:rPr>
        <w:t>Als onze kritische lezer in het laatste artikel speurt naar bronnen die de mening van Horner kunnen staven, ziet hij dat er een werk uit 1914 aangehaald wordt van de auteur Mesnage, die het verdwijnen van de kerk volgens Horner toewijdt aan ‘de slechts lichte vooruitgang onder de berbers en de welhaast algehele apostasie van de weinige berberbekeerlingen tijdens de mosliminvasies.’ Ook verwijst Horner naar een werk van Groves uit 1948, waaruit geleerd kan worden dat ‘zelfs de monastieke gemeenschappen van Noord-Afrika gesticht werden in steden die reeds christelijk waren en dat er weinig moeite werd gedaan om de heidense gebieden met het evangelie te bereiken.’7 Een magere attestatie die iets meer informatie geeft – en ook nog een bijkomende reden aandraagt: apostasie van de berbers – maar niet wezenlijk verduidelijking biedt. 6</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De kritische lezer zal zich ondertussen wellicht afvragen hoe het nu werkelijk zit met het verdwijnen van de kerk in Noord-Afrika, wat de oorzaken en redenen zijn, en hoe hij kan bepalen of hetgeen hierover geschreven is, ook werkelijk strookt met de feiten. Als hij besluit om dit verder te onderzoeken, zal hij ontdekken dat er verschillende wetenschappelijke artikelen en werken zijn verschenen, die dit onderwerp specifiek behandelen.</w:t>
      </w:r>
    </w:p>
    <w:p w:rsidR="00501C2D" w:rsidRPr="007306DC" w:rsidRDefault="00501C2D" w:rsidP="007306DC">
      <w:pPr>
        <w:pStyle w:val="Default"/>
        <w:jc w:val="both"/>
        <w:rPr>
          <w:color w:val="auto"/>
        </w:rPr>
      </w:pPr>
      <w:r w:rsidRPr="007306DC">
        <w:rPr>
          <w:color w:val="auto"/>
        </w:rPr>
        <w:t xml:space="preserve">Nadat hij zich ingelezen heeft in de materie zal hij zich misschien verbazen over het grote aantal redenen dat wordt aangehaald als verklaring van het verdwijnen van de kerk. Deze redenen kunnen dan ook nog eens geplaatst worden op een tijdslijn die meerdere eeuwen doorkruist, en wel grofweg van de 4e tot en met de 12e eeuw. De aangehaalde redenen kunnen dus zo’n 900 jaar uit elkaar liggen. De lezer zal zich echter waarschijnlijk het meest van al verbazen over het feit dat de verschillende onderzoekers niet alleen redenen uit verschillende eeuwen aanhalen, maar ook nog eens </w:t>
      </w:r>
      <w:r w:rsidRPr="007306DC">
        <w:rPr>
          <w:i/>
          <w:iCs/>
          <w:color w:val="auto"/>
        </w:rPr>
        <w:t xml:space="preserve">verschillende hoofdredenen </w:t>
      </w:r>
      <w:r w:rsidRPr="007306DC">
        <w:rPr>
          <w:color w:val="auto"/>
        </w:rPr>
        <w:t>naar voren brengen. De een legt de hoofdreden bij de donatistische strijd in de 4e en 5e eeuw, de ander legt de hoofdreden bij de overheersing van de Vandalen in de 5e en 6e eeuw, terwijl een derde de hoofdreden dan weer ziet bij de moslimheerschappij vanaf de 7e eeuw.</w:t>
      </w:r>
    </w:p>
    <w:p w:rsidR="007306DC" w:rsidRDefault="00501C2D" w:rsidP="007306DC">
      <w:pPr>
        <w:pStyle w:val="Default"/>
        <w:jc w:val="both"/>
        <w:rPr>
          <w:color w:val="auto"/>
        </w:rPr>
      </w:pPr>
      <w:r w:rsidRPr="007306DC">
        <w:rPr>
          <w:color w:val="auto"/>
        </w:rPr>
        <w:t xml:space="preserve">Hoe kan het dat er een dergelijk groot aantal uiteenlopende redenen gegeven wordt, uitgespreid over vele eeuwen? Hoe kan het dat verschillende onderzoekers uit een groot aantal genoemde redenen één specifieke hoofdreden aanwijzen, die ook nog eens verschilt van de specifieke hoofdreden die andere onderzoekers aanwijzen? Zijn deze hoofdredenen werkelijk verschillend van elkaar en zo ja, leggen ze hetzelfde gewicht in de schaal en op welke basis wordt dit bepaald? Zijn er duidelijke bronnen die de mening van een auteur of onderzoeker staven, of hebben we veeleer te maken met vermoedens, interpretaties, en extrapolaties? Dát is wat deze thesis poogt te onderzoeken, waarbij we ons vanwege de omvang van de materie hoofdzakelijk op de </w:t>
      </w:r>
      <w:r w:rsidRPr="007306DC">
        <w:rPr>
          <w:i/>
          <w:iCs/>
          <w:color w:val="auto"/>
        </w:rPr>
        <w:t>hoofdredenen</w:t>
      </w:r>
      <w:r w:rsidRPr="007306DC">
        <w:rPr>
          <w:color w:val="auto"/>
        </w:rPr>
        <w:t xml:space="preserve">, en slechts in mindere mate op de andere redenen zullen richten. De hoofdredenen zijn de redenen waarvan door de onderzoekers duidelijk wordt gezegd dat ze </w:t>
      </w:r>
      <w:r w:rsidRPr="007306DC">
        <w:rPr>
          <w:i/>
          <w:iCs/>
          <w:color w:val="auto"/>
        </w:rPr>
        <w:t xml:space="preserve">de </w:t>
      </w:r>
      <w:r w:rsidRPr="007306DC">
        <w:rPr>
          <w:color w:val="auto"/>
        </w:rPr>
        <w:t>reden zijn van het verdwijnen van de kerk in Noord-Afrika. Deze hoofdreden heeft dan volgens de onderzoekers een dominante of doorslaggevende rol, die (ver) uitstijgt boven de rol die (alle) andere redenen hebben gespeeld. De overige redenen die door de onderzoekers worden genoemd – en die bij de onderzoekers die duidelijk een hoofdreden aanwijzen dan ook minder gewicht in het betoog krijgen – zijn de andere of de aanvullende redenen, die ook van invloed zijn geweest, maar niet zo sterk als de aangemerkte hoofdreden. 7</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Deze thesis beoogt géén geschiedenis van Noord-Afrika te zijn,8 noch die van de vroege kerk in Noord-Afrika9. Wel zullen we overzichtshalve in hoofdstuk 2.1 een ‘</w:t>
      </w:r>
      <w:r w:rsidRPr="007306DC">
        <w:rPr>
          <w:i/>
          <w:iCs/>
          <w:color w:val="auto"/>
        </w:rPr>
        <w:t xml:space="preserve">beknopte </w:t>
      </w:r>
      <w:r w:rsidRPr="007306DC">
        <w:rPr>
          <w:color w:val="auto"/>
        </w:rPr>
        <w:t xml:space="preserve">geschiedenis van Noord-Afrika’ geven, zodat het kader waarin de redenen geplaatst moeten worden, duidelijk wordt, en de gegevens die in de analyse van de redenen naar voren komen, beter begrepen kunnen worden. Deze thesis poogt evenmin het verval en de verdwijning van de Noord-Afrikaanse kerk op een logische en chronologische wijze te presenteren.10 Het verdwijningproces van de kerk zal echter door de weergave van het onderzoek in zekere mate duidelijk worden. Dit onderzoek is in de eerste plaats louter een </w:t>
      </w:r>
      <w:r w:rsidRPr="007306DC">
        <w:rPr>
          <w:i/>
          <w:iCs/>
          <w:color w:val="auto"/>
        </w:rPr>
        <w:t xml:space="preserve">analyse </w:t>
      </w:r>
      <w:r w:rsidRPr="007306DC">
        <w:rPr>
          <w:color w:val="auto"/>
        </w:rPr>
        <w:t>van de in de wetenschappelijke onderzoeksliteratuur aangehaalde (hoofd)redenen van het verdwijnen van de kerk in Noord-Afrika. Hierbij is het belangrijk op te merken dat het laatste dat we van deze kerk weten, te situeren is rond het midden en einde van de 12e eeuw. Daarna is er slechts nog sprake van nieuw geïmporteerd christendom, van buitenlandse christenen, en niet van oorspronkelijk inheems christendom. De vroegste onderzoekers lijken zich niet of nauwelijks bewust van dit verschil, aangezien ze het, in hun opsomming van wat bekend is van de laatste christenen, hebben over christenen in de 13e, 15e en 16e eeuw.11 Mesnage wijst echter al op het feit dat we vanaf de dood van de Arabische veroveraar Abd al-Moumin in 1163 eerder met Mozarabieren – uit Spanje overgekomen christenen – te maken hebben dan met berbers,12 terwijl vanaf Courtois definitief wordt aanvaard dat de christenen na de dood van Abd al- Moumin ‘niets gemeen hebben met de oude plaatselijke christenheid.’13 De kerk – oftewel de eerste christenheid in Noord-Afrika – is dus tegen het einde van de 12e eeuw daadwerkelijk verdwenen.</w:t>
      </w:r>
    </w:p>
    <w:p w:rsidR="007306DC" w:rsidRDefault="007306DC" w:rsidP="007306DC">
      <w:pPr>
        <w:pStyle w:val="Default"/>
        <w:jc w:val="both"/>
      </w:pPr>
    </w:p>
    <w:p w:rsidR="00501C2D" w:rsidRPr="007306DC" w:rsidRDefault="00501C2D" w:rsidP="007306DC">
      <w:pPr>
        <w:pStyle w:val="Default"/>
        <w:jc w:val="both"/>
      </w:pPr>
      <w:r w:rsidRPr="007306DC">
        <w:t xml:space="preserve">8 Zie hiervoor het oude, maar zeer waardevolle werk van Stéphane Gsell, </w:t>
      </w:r>
      <w:r w:rsidRPr="007306DC">
        <w:rPr>
          <w:i/>
          <w:iCs/>
        </w:rPr>
        <w:t>Histoire ancienne de l’Afrique du Nord</w:t>
      </w:r>
      <w:r w:rsidRPr="007306DC">
        <w:t xml:space="preserve">, 8 vols. (Paris: Hachette, 1913-1928) en het werk van Ch.-André Julien, </w:t>
      </w:r>
      <w:r w:rsidRPr="007306DC">
        <w:rPr>
          <w:i/>
          <w:iCs/>
        </w:rPr>
        <w:t xml:space="preserve">Histoire de l’Afrique du Nord, Tunisie - Algérie - Maroc, des origines à la conquête arabe (647 ap. J.-C.), (deuxième édition revue et mise à jour par Christian Courtois) </w:t>
      </w:r>
      <w:r w:rsidRPr="007306DC">
        <w:t xml:space="preserve">(Paris: Payot, l95l), en </w:t>
      </w:r>
      <w:r w:rsidRPr="007306DC">
        <w:rPr>
          <w:i/>
          <w:iCs/>
        </w:rPr>
        <w:t xml:space="preserve">Histoire de l’Afrique du Nord, Tunisie - Algérie - Maroc, de la conquête arabe à 1830, (deuxième édition revue et mise à jour par Roger Le Tourneau) </w:t>
      </w:r>
      <w:r w:rsidRPr="007306DC">
        <w:t>(Paris: Payot, 1952).</w:t>
      </w:r>
    </w:p>
    <w:p w:rsidR="007306DC" w:rsidRDefault="007306DC" w:rsidP="007306DC">
      <w:pPr>
        <w:pStyle w:val="Default"/>
        <w:jc w:val="both"/>
      </w:pPr>
    </w:p>
    <w:p w:rsidR="00501C2D" w:rsidRPr="007306DC" w:rsidRDefault="00501C2D" w:rsidP="007306DC">
      <w:pPr>
        <w:pStyle w:val="Default"/>
        <w:jc w:val="both"/>
      </w:pPr>
      <w:r w:rsidRPr="007306DC">
        <w:t xml:space="preserve">9 Zie Joseph Cuoq, L’Église </w:t>
      </w:r>
      <w:r w:rsidRPr="007306DC">
        <w:rPr>
          <w:i/>
          <w:iCs/>
        </w:rPr>
        <w:t xml:space="preserve">d’Afrique du Nord du IIe au XIIe siècle </w:t>
      </w:r>
      <w:r w:rsidRPr="007306DC">
        <w:t xml:space="preserve">(Paris: Le Centurion, 1984), en Rob Dann, </w:t>
      </w:r>
      <w:r w:rsidRPr="007306DC">
        <w:rPr>
          <w:i/>
          <w:iCs/>
        </w:rPr>
        <w:t xml:space="preserve">This Holy Seed. Faith, Hope and Love in The Early Churches of North Africa </w:t>
      </w:r>
      <w:r w:rsidRPr="007306DC">
        <w:t>(Harpenden: Tamarisk Publications, 1993).</w:t>
      </w:r>
    </w:p>
    <w:p w:rsidR="007306DC" w:rsidRDefault="007306DC" w:rsidP="007306DC">
      <w:pPr>
        <w:pStyle w:val="Default"/>
        <w:jc w:val="both"/>
      </w:pPr>
    </w:p>
    <w:p w:rsidR="00501C2D" w:rsidRPr="007306DC" w:rsidRDefault="00501C2D" w:rsidP="007306DC">
      <w:pPr>
        <w:pStyle w:val="Default"/>
        <w:jc w:val="both"/>
      </w:pPr>
      <w:r w:rsidRPr="007306DC">
        <w:t xml:space="preserve">10 Zie hiervoor de werken van Joseph Mesnage, </w:t>
      </w:r>
      <w:r w:rsidRPr="007306DC">
        <w:rPr>
          <w:i/>
          <w:iCs/>
        </w:rPr>
        <w:t xml:space="preserve">Le christianisme en Afrique. Origines, Développement, Extension </w:t>
      </w:r>
      <w:r w:rsidRPr="007306DC">
        <w:t xml:space="preserve">(Paris : Auguste Picard, l9l4), </w:t>
      </w:r>
      <w:r w:rsidRPr="007306DC">
        <w:rPr>
          <w:i/>
          <w:iCs/>
        </w:rPr>
        <w:t xml:space="preserve">Le christianisme en Afrique. Déclin et extinction </w:t>
      </w:r>
      <w:r w:rsidRPr="007306DC">
        <w:t xml:space="preserve">(Paris : Auguste Picard, l9l5), </w:t>
      </w:r>
      <w:r w:rsidRPr="007306DC">
        <w:rPr>
          <w:i/>
          <w:iCs/>
        </w:rPr>
        <w:t xml:space="preserve">Le christianisme en Afrique. Église mozarabe, Esclaves chrétiens </w:t>
      </w:r>
      <w:r w:rsidRPr="007306DC">
        <w:t>(Paris : Auguste Picard, l9l5).</w:t>
      </w:r>
    </w:p>
    <w:p w:rsidR="00501C2D" w:rsidRPr="007306DC" w:rsidRDefault="00501C2D" w:rsidP="007306DC">
      <w:pPr>
        <w:pStyle w:val="Default"/>
        <w:jc w:val="both"/>
      </w:pPr>
      <w:r w:rsidRPr="007306DC">
        <w:t xml:space="preserve">11 Henry Guys, </w:t>
      </w:r>
      <w:r w:rsidRPr="007306DC">
        <w:rPr>
          <w:i/>
          <w:iCs/>
        </w:rPr>
        <w:t xml:space="preserve">Recherches sur la destruction du christianisme dans l’Afrique septentrionale et sur les causes qui ont retardé la colonisation française en Algérie </w:t>
      </w:r>
      <w:r w:rsidRPr="007306DC">
        <w:t xml:space="preserve">(Paris: E. Dentu, 1865), 14-15, en Leonard Ralph Holme, </w:t>
      </w:r>
      <w:r w:rsidRPr="007306DC">
        <w:rPr>
          <w:i/>
          <w:iCs/>
        </w:rPr>
        <w:t xml:space="preserve">The Extinction of the Christian Churches in North Africa </w:t>
      </w:r>
      <w:r w:rsidRPr="007306DC">
        <w:t>(London: Cambridge University Press Warehouse, 1898), 240-242.</w:t>
      </w:r>
    </w:p>
    <w:p w:rsidR="007306DC" w:rsidRDefault="00501C2D" w:rsidP="007306DC">
      <w:pPr>
        <w:pStyle w:val="Default"/>
        <w:jc w:val="both"/>
      </w:pPr>
      <w:r w:rsidRPr="007306DC">
        <w:t xml:space="preserve">12 Mesnage, </w:t>
      </w:r>
      <w:r w:rsidRPr="007306DC">
        <w:rPr>
          <w:i/>
          <w:iCs/>
        </w:rPr>
        <w:t>Déclin et extinction</w:t>
      </w:r>
      <w:r w:rsidRPr="007306DC">
        <w:t>, 226.</w:t>
      </w:r>
    </w:p>
    <w:p w:rsidR="007306DC" w:rsidRDefault="00501C2D" w:rsidP="007306DC">
      <w:pPr>
        <w:pStyle w:val="Default"/>
        <w:jc w:val="both"/>
        <w:rPr>
          <w:color w:val="auto"/>
        </w:rPr>
      </w:pPr>
      <w:r w:rsidRPr="007306DC">
        <w:t xml:space="preserve">13 Christian Courtois, “Grégoire VII et l’Afrique du Nord; remarques sur les communautés chrétiennes d’Afrique au XIe siècle (1er article),” </w:t>
      </w:r>
      <w:r w:rsidRPr="007306DC">
        <w:rPr>
          <w:i/>
          <w:iCs/>
        </w:rPr>
        <w:t xml:space="preserve">Revue Historique </w:t>
      </w:r>
      <w:r w:rsidRPr="007306DC">
        <w:t xml:space="preserve">(1945): 121. Dall’Arche noemt de periode ná de l2e eeuw het ‘zendingstijdperk’, Mario Dall’Arche, </w:t>
      </w:r>
      <w:r w:rsidRPr="007306DC">
        <w:rPr>
          <w:i/>
          <w:iCs/>
        </w:rPr>
        <w:t xml:space="preserve">Scomparsa del Cristianesimo ed espansione dell’Islam nell’Africa settentrionale </w:t>
      </w:r>
      <w:r w:rsidRPr="007306DC">
        <w:t xml:space="preserve">(Roma: Edizioni Fiamma Nova, 1967), 77, 219. </w:t>
      </w:r>
      <w:r w:rsidRPr="007306DC">
        <w:rPr>
          <w:color w:val="auto"/>
        </w:rPr>
        <w:t>8</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De door ons te analyseren onderzoeksliteratuur wordt in hoofdstuk 2.2 weergegeven, en is zowel een doorsnede als de hoofdmoot van wat er de laatste 150 jaar over ons onderwerp gepubliceerd is. Het valt op dat dit betrekkelijk weinig is, en dat de meest uitgebreide onderzoekswerken aan het eind van de 19e en in de eerste helft van de 20e eeuw verschenen zijn. Veel van de latere onderzoeksliteratuur valt expliciet, maar vooral impliciet op de gegevens van deze eerste literatuur terug. Er wordt weinig nieuw materiaal naar voren gebracht. Eveneens opvallend is het feit dat er relatief weinig oorspronkelijk bronnenmateriaal over de vroege kerk in Noord-Afrika beschikbaar is. De literatuur tot aan en over de donatistische strijd is betrekkelijk rijk,14 terwijl de literatuur over de kerk in de periode van de Vandalen en Byzantijnen vrij schaars en fragmentarisch is.15 Ook over de periode daarna is ons heel weinig bekend. We weten slechts van het laatste christelijke leven in Noord-Afrika door enkele, niet altijd makkelijk te interpreteren lijsten waarop bisdommen zijn aangegeven, door enkele pauselijke brieven uit de 11e eeuw, door de Arabische historici, en door verschillende archeologische vondsten, die evenmin altijd gemakkelijk te interpreteren zijn.16 Het moeilijke van de Arabische bronnen is ook nog eens dat de Arabische geschiedschrijvers en geografen slechts zijdelings en fragmentarisch over christenen schrijven.17 In de verslagen over de Arabische gebeurtenissen staan de christenen verre van centraal, en we vernemen daarom slechts in de marge van hen.</w:t>
      </w:r>
    </w:p>
    <w:p w:rsidR="007306DC" w:rsidRDefault="007306DC" w:rsidP="007306DC">
      <w:pPr>
        <w:pStyle w:val="Default"/>
        <w:jc w:val="both"/>
      </w:pPr>
    </w:p>
    <w:p w:rsidR="00501C2D" w:rsidRPr="007306DC" w:rsidRDefault="00501C2D" w:rsidP="007306DC">
      <w:pPr>
        <w:pStyle w:val="Default"/>
        <w:jc w:val="both"/>
      </w:pPr>
      <w:r w:rsidRPr="007306DC">
        <w:t xml:space="preserve">14 Een belangrijk werk is dat van Paul Monceaux, </w:t>
      </w:r>
      <w:r w:rsidRPr="007306DC">
        <w:rPr>
          <w:i/>
          <w:iCs/>
        </w:rPr>
        <w:t>Histoire littéraire de l’Afrique chrétienne depuis les origines jusqu’à l’invasion arabe</w:t>
      </w:r>
      <w:r w:rsidRPr="007306DC">
        <w:t xml:space="preserve">, 7 vols. (Paris: Leroux, 190l-1923). Dit werk vermeldt zeer veel literaire bronnen, maar helaas is Monceaux door zijn vroegtijdig overlijden niet verder gekomen dan het donatisme ten tijde van Augustinus. Zie ook Jacques Fontaine, Serge Lancel, Pierre Langlois en André Mandouze, “Africa II (literaturgeschichtlich),” in </w:t>
      </w:r>
      <w:r w:rsidRPr="007306DC">
        <w:rPr>
          <w:i/>
          <w:iCs/>
        </w:rPr>
        <w:t>Reallexicon für Antike und Christentum, Sachwörterbuch zur Auseinandersetzung des Christentums mit der Antiken Welt</w:t>
      </w:r>
      <w:r w:rsidRPr="007306DC">
        <w:t>, Supplement-Band I, heruitgave Theodor Klauser en Ernst Dassmann (Stuttgart: Anton Hiersemann, 2001), 134-228.</w:t>
      </w:r>
    </w:p>
    <w:p w:rsidR="00501C2D" w:rsidRPr="007306DC" w:rsidRDefault="00501C2D" w:rsidP="007306DC">
      <w:pPr>
        <w:pStyle w:val="Default"/>
        <w:jc w:val="both"/>
      </w:pPr>
      <w:r w:rsidRPr="007306DC">
        <w:t xml:space="preserve">15 R. A. Markus, “Reflections on Religious Dissent in North Africa in the Byzantine Period,” </w:t>
      </w:r>
      <w:r w:rsidRPr="007306DC">
        <w:rPr>
          <w:i/>
          <w:iCs/>
        </w:rPr>
        <w:t xml:space="preserve">Studies in Church History </w:t>
      </w:r>
      <w:r w:rsidRPr="007306DC">
        <w:t>3 (1966 ): 140.</w:t>
      </w:r>
    </w:p>
    <w:p w:rsidR="00501C2D" w:rsidRPr="007306DC" w:rsidRDefault="00501C2D" w:rsidP="007306DC">
      <w:pPr>
        <w:pStyle w:val="Default"/>
        <w:jc w:val="both"/>
      </w:pPr>
      <w:r w:rsidRPr="007306DC">
        <w:t xml:space="preserve">16 Deze opsomming vinden we bij William Seston, “Sur les derniers temps du christianisme en Afrique,” </w:t>
      </w:r>
      <w:r w:rsidRPr="007306DC">
        <w:rPr>
          <w:i/>
          <w:iCs/>
        </w:rPr>
        <w:t xml:space="preserve">Mélanges d’archéologie et d’histoire </w:t>
      </w:r>
      <w:r w:rsidRPr="007306DC">
        <w:t>53 (1936): 103.</w:t>
      </w:r>
    </w:p>
    <w:p w:rsidR="00501C2D" w:rsidRPr="007306DC" w:rsidRDefault="00501C2D" w:rsidP="007306DC">
      <w:pPr>
        <w:pStyle w:val="Default"/>
        <w:pageBreakBefore/>
        <w:jc w:val="both"/>
        <w:rPr>
          <w:color w:val="auto"/>
        </w:rPr>
      </w:pPr>
      <w:r w:rsidRPr="007306DC">
        <w:t xml:space="preserve">17 Emil Ludwig Iselin, </w:t>
      </w:r>
      <w:r w:rsidRPr="007306DC">
        <w:rPr>
          <w:i/>
          <w:iCs/>
        </w:rPr>
        <w:t xml:space="preserve">Der Untergang der christlichen Kirche in Nordafrika </w:t>
      </w:r>
      <w:r w:rsidRPr="007306DC">
        <w:t>(Basel: Verlag der Basler Missionsbuchhandlung, 1918), 45.</w:t>
      </w:r>
    </w:p>
    <w:p w:rsidR="007306DC" w:rsidRDefault="00501C2D" w:rsidP="007306DC">
      <w:pPr>
        <w:pStyle w:val="Default"/>
        <w:jc w:val="both"/>
        <w:rPr>
          <w:color w:val="auto"/>
        </w:rPr>
      </w:pPr>
      <w:r w:rsidRPr="007306DC">
        <w:rPr>
          <w:color w:val="auto"/>
        </w:rPr>
        <w:t xml:space="preserve">De in de onderzoeksliteratuur aangehaalde redenen van het verdwijnen van de kerk in Noord-Afrika zijn door ons geïnventariseerd. Deze redenen zullen in hoofdstuk 2.3 overzichtelijk worden weergegeven, en zullen geplaatst worden in een tabel waarin ook de specifieke onderzoeksliteratuur opgenomen zal zijn. We zullen ons in ons onderzoek echter, zoals even hierboven gezegd, voornamelijk richten op de door de onderzoekers voorgestelde </w:t>
      </w:r>
      <w:r w:rsidRPr="007306DC">
        <w:rPr>
          <w:i/>
          <w:iCs/>
          <w:color w:val="auto"/>
        </w:rPr>
        <w:t>hoofdredenen</w:t>
      </w:r>
      <w:r w:rsidRPr="007306DC">
        <w:rPr>
          <w:color w:val="auto"/>
        </w:rPr>
        <w:t>, die in hoofdstuk 2.4 schematisch weergegeven zullen worden, aan de hand van het jaar waarin de desbetreffende onderzoeker zijn stelling heeft geponeerd. De andere 9</w:t>
      </w:r>
    </w:p>
    <w:p w:rsidR="00501C2D" w:rsidRPr="007306DC" w:rsidRDefault="00501C2D" w:rsidP="007306DC">
      <w:pPr>
        <w:pStyle w:val="Default"/>
        <w:jc w:val="both"/>
        <w:rPr>
          <w:color w:val="auto"/>
        </w:rPr>
      </w:pPr>
      <w:r w:rsidRPr="007306DC">
        <w:rPr>
          <w:color w:val="auto"/>
        </w:rPr>
        <w:t>(aanvullende) redenen zullen zoveel mogelijk in ons onderzoek belicht worden, maar dit zal altijd slechts in functie van ons onderzoek naar de hoofdredenen zijn, en dus in de marge. We zullen voorbeelden van die redenen en hun bijbehorende onderzoekers geven, maar we pretenderen niet hierin volledig te zijn, daar hier niet het zwaartepunt van ons onderzoek ligt.</w:t>
      </w:r>
    </w:p>
    <w:p w:rsidR="00501C2D" w:rsidRPr="007306DC" w:rsidRDefault="00501C2D" w:rsidP="007306DC">
      <w:pPr>
        <w:pStyle w:val="Default"/>
        <w:jc w:val="both"/>
        <w:rPr>
          <w:color w:val="auto"/>
        </w:rPr>
      </w:pPr>
      <w:r w:rsidRPr="007306DC">
        <w:rPr>
          <w:color w:val="auto"/>
        </w:rPr>
        <w:t>We hebben de overzichten aangaande het historische kader, de onderzoeksliteratuur en de redenen samengevoegd in hoofdstuk 2, omdat deze overzichten samen een verduidelijkend kader vormen bij hoofdstuk 3, dat het kernhoofdstuk van onze thesis is. Het is onze bedoeling om door deze opzet de beschrijving en beoordeling van de redenen in onze analyse makkelijker begrijpbaar te maken. Zonder dit hoofdstuk met duidelijke overzichten zullen de te noemen gebeurtenissen, auteurs, en redenen in hoofdstuk 3, niet licht in hun bijbehorend kader geplaatst kunnen worden.</w:t>
      </w:r>
    </w:p>
    <w:p w:rsidR="00501C2D" w:rsidRPr="007306DC" w:rsidRDefault="00501C2D" w:rsidP="007306DC">
      <w:pPr>
        <w:pStyle w:val="Default"/>
        <w:jc w:val="both"/>
        <w:rPr>
          <w:color w:val="auto"/>
        </w:rPr>
      </w:pPr>
      <w:r w:rsidRPr="007306DC">
        <w:rPr>
          <w:color w:val="auto"/>
        </w:rPr>
        <w:t>In hoofdstuk 3 zullen we vervolgens de hoofdredenen analyseren. We zullen eerst de aangedragen hoofdreden weergeven aan de hand van de beschrijving van die hoofdreden die door een of meerdere onderzoekers naar voren is gebracht. Vervolgens zullen we deze reden analyseren en toelichten aan de hand van wat ons bekend is van de resultaten van de andere onderzoekers en eventueel van de gegevens in de oorspronkelijke bronnen en aanvullende literatuur. We zullen trachten na te gaan of we te maken hebben met redenen die door bronnen worden gestaafd en dus een duidelijk aanwijsbare argumentatiegrond hebben, of veeleer met redenen die geplaatst kunnen worden in de categorie “vermoedens, interpretaties en extrapolaties".</w:t>
      </w:r>
    </w:p>
    <w:p w:rsidR="007306DC" w:rsidRDefault="00501C2D" w:rsidP="007306DC">
      <w:pPr>
        <w:pStyle w:val="Default"/>
        <w:jc w:val="both"/>
        <w:rPr>
          <w:color w:val="auto"/>
        </w:rPr>
      </w:pPr>
      <w:r w:rsidRPr="007306DC">
        <w:rPr>
          <w:color w:val="auto"/>
        </w:rPr>
        <w:t>In ons onderzoek hebben we ons gericht op de specifieke onderzoeksliteratuur, en haar geanalyseerd in lijn met de argumentatie die in die literatuur naar voren komt. We zullen in eerste instantie argumenteren vanuit de onderzoeksliteratuur zelf, en ons slechts in tweede instantie richten op aanvullende specifieke literatuur over een bepaald onderwerp. We hebben ons dus in de eerste plaats laten leiden door de gegevens uit de onderzoeksliteratuur, en pas in de tweede plaats door aanvullende literatuur. Deze thesis is dan ook een onderzoek naar de specifieke onderzoeksliteratuur over het uitsterven van de kerk, met de bredere context van alle andere beschikbare informatie over die kerk en haar bestaan in Noord-Afrika op de achtergrond. Vanuit de specifieke onderzoeksliteratuur hebben we de algehele literatuur – inclusief primaire bronnen – geraadpleegd, en niet omgekeerd. Waar het nuttig, nodig en mogelijk was hebben we gegevens achterhaald, gecontroleerd, en in onze analyse verwerkt. 10</w:t>
      </w:r>
    </w:p>
    <w:p w:rsidR="00501C2D" w:rsidRPr="007306DC" w:rsidRDefault="00501C2D" w:rsidP="007306DC">
      <w:pPr>
        <w:pStyle w:val="Default"/>
        <w:jc w:val="both"/>
        <w:rPr>
          <w:color w:val="auto"/>
        </w:rPr>
      </w:pPr>
      <w:r w:rsidRPr="007306DC">
        <w:rPr>
          <w:color w:val="auto"/>
        </w:rPr>
        <w:t>De specifieke primaire bronnen zijn door ons vooral geraadpleegd in de gevallen waar een onderzoeker deze bronnen gebruikt om zijn argumenten te ondersteunen. We hebben dus niet consequent alle verwijzingen naar primaire bronnen in deze thesis verwerkt, maar hebben ons laten leiden door onze (niet te vermijden subjectieve) beoordeling van het belang voor een bepaalde argumentatie. Het raadplegen van het oorspronkelijke bronnenmateriaal hebben wij in grotere mate bij de hoofdredenen dan bij de aanvullende redenen gedaan, vanwege onze reeds genoemde prioriteit.</w:t>
      </w:r>
    </w:p>
    <w:p w:rsidR="00501C2D" w:rsidRPr="007306DC" w:rsidRDefault="00501C2D" w:rsidP="007306DC">
      <w:pPr>
        <w:pStyle w:val="Default"/>
        <w:jc w:val="both"/>
        <w:rPr>
          <w:color w:val="auto"/>
        </w:rPr>
      </w:pPr>
      <w:r w:rsidRPr="007306DC">
        <w:rPr>
          <w:color w:val="auto"/>
        </w:rPr>
        <w:t>Zelfstandig onderzoek aan de hand van oorspronkelijke bronnen en aanvullende literatuur, los van de literatuur waar in onze onderzoeksliteratuur naar wordt verwezen, is slechts in beperkte mate gebeurd. Deze beperkende aanpak heeft vooral te maken met het feit dat het onderzoeksgebied qua tijdsvak globaal te plaatsen is tussen de 2e eeuw (de verschijning van het christendom in Noord-Afrika) en de 12e eeuw (de laatste sporen van het inheemse christendom in Noord-Afrika), waarbij we ook nog eens te maken hebben met duidelijk te onderscheiden verschillende buitenlandse bezetters in Noord-Afrika, die elk op zichzelf hun eigen onderzoeksgebied opleveren. Een gedegen verwerking van alle literatuur die er over die tien eeuwen en de verschillende specifieke deelgebieden is verschenen, is specialistenwerk, en wellicht slechts voor enkelen weggelegd. We beseffen dat door onze werkwijze vragen opgeroepen kunnen worden, die we in deze thesis niet zullen beantwoorden. Een grondig diepteonderzoek aangaande de vele, weliswaar met elkaar samenhangende, maar toch duidelijk van elkaar afgescheiden elementen, valt naar onze mening echter buiten het bereik van deze licentiaatsthesis.</w:t>
      </w:r>
    </w:p>
    <w:p w:rsidR="007306DC" w:rsidRDefault="00501C2D" w:rsidP="007306DC">
      <w:pPr>
        <w:pStyle w:val="Default"/>
        <w:jc w:val="both"/>
        <w:rPr>
          <w:color w:val="auto"/>
        </w:rPr>
      </w:pPr>
      <w:r w:rsidRPr="007306DC">
        <w:rPr>
          <w:color w:val="auto"/>
        </w:rPr>
        <w:t xml:space="preserve">In hoofdstuk 4 zullen we een algehele evaluatie en eindconclusie van ons onderzoek geven. Hier zal ook het doel van de analyse in hoofdstuk 3 verduidelijkt worden. Het samenvoegen van de conclusies uit hoofdstuk 3 zal ons namelijk helpen om vast te stellen hoe het mogelijk is dat verschillende auteurs </w:t>
      </w:r>
      <w:r w:rsidRPr="007306DC">
        <w:rPr>
          <w:i/>
          <w:iCs/>
          <w:color w:val="auto"/>
        </w:rPr>
        <w:t xml:space="preserve">verschillende </w:t>
      </w:r>
      <w:r w:rsidRPr="007306DC">
        <w:rPr>
          <w:color w:val="auto"/>
        </w:rPr>
        <w:t xml:space="preserve">hoofdredenen aangeven, terwijl duidelijk is dat er volgens de regels van de logica slechts één hoofdreden – zoals de onderzoekers deze bedoelen, zie p.6 – boven alle andere kan uitstijgen en er dus maar één hoofdreden – en niet meer – zou kunnen bestaan. We zullen dan ook trachten te beoordelen of deze hoofdredenen naast elkaar kunnen bestaan, of dat juist veeleer één van deze redenen als </w:t>
      </w:r>
      <w:r w:rsidRPr="007306DC">
        <w:rPr>
          <w:i/>
          <w:iCs/>
          <w:color w:val="auto"/>
        </w:rPr>
        <w:t xml:space="preserve">absolute hoofdreden </w:t>
      </w:r>
      <w:r w:rsidRPr="007306DC">
        <w:rPr>
          <w:color w:val="auto"/>
        </w:rPr>
        <w:t>en de andere hoofdredenen als minder belangrijk gemarkeerd moeten worden, waardoor er een hoofdreden aan te wijzen is die uitstijgt boven alle andere hoofdredenen. 11</w:t>
      </w:r>
    </w:p>
    <w:p w:rsidR="007306DC" w:rsidRDefault="007306DC" w:rsidP="007306DC">
      <w:pPr>
        <w:pStyle w:val="Default"/>
        <w:jc w:val="both"/>
        <w:rPr>
          <w:color w:val="auto"/>
        </w:rPr>
      </w:pPr>
    </w:p>
    <w:p w:rsidR="007306DC" w:rsidRDefault="00501C2D" w:rsidP="007306DC">
      <w:pPr>
        <w:pStyle w:val="Default"/>
        <w:jc w:val="both"/>
        <w:rPr>
          <w:color w:val="auto"/>
        </w:rPr>
      </w:pPr>
      <w:r w:rsidRPr="007306DC">
        <w:rPr>
          <w:color w:val="auto"/>
        </w:rPr>
        <w:t>Deze thesis tracht dan ook helderheid te scheppen in de ogenschijnlijk verwarrende hoeveelheid van hoofdredenen die worden aangedragen in het onderzoek naar het verdwijningproces van de kerk in Noord-Afrika. Het nauwkeurig in kaart brengen, bespreken en naast elkaar leggen van de hoofdredenen die in de onderzoeksliteratuur worden gegeven, is bij ons weten nog niet eerder gedaan en zal een hulp zijn bij elk verder onderzoek naar het verdwijningproces van de kerk in Noord-Afrika.18 Wij beogen met onze thesis tegemoet te komen aan de leemte in de onderzoeksliteratuur die bestaat in het feit dat er tot op heden geen algehele eindevaluatie is gegeven aangaande de verschillende afzonderlijke en specifieke onderzoekswerken die reeds verschenen zijn, en zo een nuttige bijdrage te leveren aan het onderzoeksproces.</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t xml:space="preserve">18 Een werk dat enigszins lijkt op dat van ons is het artikel van Ulrich Schoen, “Die Kirche der Berber. Über die mutmaβlichen Gründe ihres Aussterbens,” in </w:t>
      </w:r>
      <w:r w:rsidRPr="007306DC">
        <w:rPr>
          <w:i/>
          <w:iCs/>
        </w:rPr>
        <w:t>Fides pro mundi vita: Missionstheologie heute</w:t>
      </w:r>
      <w:r w:rsidRPr="007306DC">
        <w:t xml:space="preserve">, Herausgabe Theo Sundermeier, 91-110 (Gütersloh: Gütersloher Verlagshaus Mohn, 1980). Schoen geeft hierin van tien redenen van het verdwijnen van de kerk, zowel een aantal argumenten vóór als argumenten tegen, en vervolgens een eindoordeel. Hoewel Schoen verschillende werken aanhaalt, is het ons echter dikwijls niet duidelijk of hij slechts argumenten van anderen verwoordt en eventueel de meningen zelf ook deelt, of zelf de argumenten naar voren brengt. Bij het eindoordeel dat hij geeft wordt slechts een summiere toelichting gegeven, waardoor het gewicht van de argumentering niet geheel duidelijk wordt. Bovendien behandelt hij niet zozeer de redenen die door onderzoekers als hoofdreden naar voren zijn gebracht, zoals wij dat in deze thesis doen, maar heeft hij een vermenging van redenen die naar onze mening, op grond van het gewicht dat de onderzoekers zelf aan bepaalde redenen toekennen, gescheiden moeten worden in ‘hoofdredenen’ en ‘aanvullende redenen’. Schoen zet bij zijn bespreking alle redenen op dezelfde hoogte en maakt ook niet duidelijk waarom hij juist de specifieke tien redenen die hij in zijn artikel naar voren brengt bespreekt, en niet een aantal andere redenen. Hetzelfde artikel was een jaar eerder in het Engels verschenen: Ulrich Schoen, “The Death of a Church: Remarks on the Presumed Reasons for the Disappearance of the first Church in North West Africa,” </w:t>
      </w:r>
      <w:r w:rsidRPr="007306DC">
        <w:rPr>
          <w:i/>
          <w:iCs/>
        </w:rPr>
        <w:t xml:space="preserve">Theological Review </w:t>
      </w:r>
      <w:r w:rsidRPr="007306DC">
        <w:t>2 (1979): 3-20. We hebben in ons onderzoek gekozen voor de jongste publicatie, de Duits versie.</w:t>
      </w:r>
    </w:p>
    <w:p w:rsidR="007306DC" w:rsidRDefault="00501C2D" w:rsidP="007306DC">
      <w:pPr>
        <w:pStyle w:val="Default"/>
        <w:jc w:val="both"/>
        <w:rPr>
          <w:color w:val="auto"/>
        </w:rPr>
      </w:pPr>
      <w:r w:rsidRPr="007306DC">
        <w:rPr>
          <w:color w:val="auto"/>
        </w:rPr>
        <w:t>Vanwege de talrijke aanhalingen in dit werk, zijn alle citaten niet in hun oorspronkelijke taal weergegeven, maar door ons in het Nederlands vertaald. Waar er cursiveringen in de citaten in de hoofdtekst aangebracht zijn, betekent dit consequent dat deze cursiveringen ook in de oorspronkelijke tekst voorkomen. In de voetnoten zijn citaten overzichtshalve consequent gecursiveerd weergegeven. Eventuele cursiveringen in de oorspronkelijk tekst zijn in dit geval ongecursiveerd weergeven, om het onderscheid te behouden. 12</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b/>
          <w:bCs/>
          <w:color w:val="auto"/>
        </w:rPr>
        <w:t>2 Historisch kader, literatuur en canon van redenen</w:t>
      </w:r>
    </w:p>
    <w:p w:rsidR="00501C2D" w:rsidRPr="007306DC" w:rsidRDefault="00501C2D" w:rsidP="007306DC">
      <w:pPr>
        <w:pStyle w:val="Default"/>
        <w:jc w:val="both"/>
        <w:rPr>
          <w:color w:val="auto"/>
        </w:rPr>
      </w:pPr>
      <w:r w:rsidRPr="007306DC">
        <w:rPr>
          <w:color w:val="auto"/>
        </w:rPr>
        <w:t>In dit hoofdstuk hebben we de volgende overzichten opgenomen: het historische kader, de onderzoeksliteratuur en de redenen die in de onderzoeksliteratuur gegeven worden. Deze overzichten samen vormen een inleidend kader bij hoofdstuk 3, waarin de redenen beschreven en besproken worden. De eigenlijke analyse zal door het raadplegen van hoofdstuk 2 makkelijker geplaatst en begrepen kunnen worden. Het donatisme hebben we een separate plaats gegeven en onder “De Romeinen” ondergebracht, omdat we hier met een christelijke stroming te maken hebben die een belangrijke plaats heeft in het onderzoeksproces en haar hoogtepunt onder het bewind van de Romeinen kende.</w:t>
      </w:r>
    </w:p>
    <w:p w:rsidR="007306DC" w:rsidRDefault="007306DC" w:rsidP="007306DC">
      <w:pPr>
        <w:pStyle w:val="Default"/>
        <w:jc w:val="both"/>
        <w:rPr>
          <w:b/>
          <w:bCs/>
          <w:color w:val="auto"/>
        </w:rPr>
      </w:pPr>
    </w:p>
    <w:p w:rsidR="00501C2D" w:rsidRPr="007306DC" w:rsidRDefault="00501C2D" w:rsidP="007306DC">
      <w:pPr>
        <w:pStyle w:val="Default"/>
        <w:jc w:val="both"/>
        <w:rPr>
          <w:color w:val="auto"/>
        </w:rPr>
      </w:pPr>
      <w:r w:rsidRPr="007306DC">
        <w:rPr>
          <w:b/>
          <w:bCs/>
          <w:color w:val="auto"/>
        </w:rPr>
        <w:t>2.1 Beknopte geschiedenis van Noord-Afrika19</w:t>
      </w:r>
    </w:p>
    <w:p w:rsidR="00501C2D" w:rsidRPr="007306DC" w:rsidRDefault="00501C2D" w:rsidP="007306DC">
      <w:pPr>
        <w:pStyle w:val="Default"/>
        <w:jc w:val="both"/>
      </w:pPr>
      <w:r w:rsidRPr="007306DC">
        <w:t xml:space="preserve">19 Zie voor een zeer uitgebreide literatuurlijst Alfred Schindler, “Afrika I, Das christliche Nordafrika (2. bis 7. Jh.),” in </w:t>
      </w:r>
      <w:r w:rsidRPr="007306DC">
        <w:rPr>
          <w:i/>
          <w:iCs/>
        </w:rPr>
        <w:t>Theologische Realenzyklopädie</w:t>
      </w:r>
      <w:r w:rsidRPr="007306DC">
        <w:t>, Band 1, Herausgabe Gerhard Krause en Gerhard Müller (Berlin: Walter de Gruyter, 1977), 640-700.</w:t>
      </w:r>
    </w:p>
    <w:p w:rsidR="00501C2D" w:rsidRPr="007306DC" w:rsidRDefault="00501C2D" w:rsidP="007306DC">
      <w:pPr>
        <w:pStyle w:val="Default"/>
        <w:jc w:val="both"/>
        <w:rPr>
          <w:color w:val="auto"/>
        </w:rPr>
      </w:pPr>
      <w:r w:rsidRPr="007306DC">
        <w:t xml:space="preserve">20 Sabatino Moscati, </w:t>
      </w:r>
      <w:r w:rsidRPr="007306DC">
        <w:rPr>
          <w:i/>
          <w:iCs/>
        </w:rPr>
        <w:t xml:space="preserve">Die Phöniker, von 1200 vor Christus bis zum Untergang Karthagos </w:t>
      </w:r>
      <w:r w:rsidRPr="007306DC">
        <w:t xml:space="preserve">(Zürich: Kindler Verlag, 1966), Gerard Herm, </w:t>
      </w:r>
      <w:r w:rsidRPr="007306DC">
        <w:rPr>
          <w:i/>
          <w:iCs/>
        </w:rPr>
        <w:t>De Feniciërs, het purperrijk uit de Oudheid</w:t>
      </w:r>
      <w:r w:rsidRPr="007306DC">
        <w:t>, 2e druk (Baarn: H. Meulenhoff, 1974).</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Hoewel deze thesis geen geschiedenis van Noord-Afrika poogt weer te geven, is het noodzakelijk de grote lijnen hiervan te schetsen, zodat er een kader beschikbaar is waarin de feiten en argumenten geplaatst kunnen worden. We nemen als uitgangspunt de diverse bezettingen van Noord-Afrika door vreemde overheersers, omdat daar veel van de aangehaalde redenen van het verdwijnen van de kerk op terug te voeren zijn. Aangezien de laatste sporen van het inheemse christendom te vinden zijn aan het eind van de 12e eeuw, zal ons overzicht zich tot die tijd beperken. Volledigheidshalve zullen we bij elke genoemde bezetting specifieke literatuur vermelden.</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 xml:space="preserve">2.1.1 </w:t>
      </w:r>
      <w:r w:rsidRPr="007306DC">
        <w:rPr>
          <w:i/>
          <w:iCs/>
          <w:color w:val="auto"/>
        </w:rPr>
        <w:t>De Feniciërs (10e eeuw v. Chr. – 146 v. Chr.)</w:t>
      </w:r>
      <w:r w:rsidRPr="007306DC">
        <w:rPr>
          <w:color w:val="auto"/>
        </w:rPr>
        <w:t>20</w:t>
      </w:r>
    </w:p>
    <w:p w:rsidR="007306DC" w:rsidRDefault="00501C2D" w:rsidP="007306DC">
      <w:pPr>
        <w:pStyle w:val="Default"/>
        <w:jc w:val="both"/>
        <w:rPr>
          <w:color w:val="auto"/>
        </w:rPr>
      </w:pPr>
      <w:r w:rsidRPr="007306DC">
        <w:rPr>
          <w:color w:val="auto"/>
        </w:rPr>
        <w:t>Fenicische handelaars zijn in de 10e eeuw v. Chr. begonnen met het koloniseren van Noord-Afrika. In 814 v. Chr. stichtten ze Carthago en bouwden hun rijk uit tot een imperium dat de gehele kustlijn van Noord-Afrika domineerde, en zo alle handelsroutes beschermde. In 146 v. Chr. werd Carthago vernietigd door de Romeinen, en zo verloren de Feniciërs hun grip op 13</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Noord-Afrika. De Feniciërs hebben een niet onbelangrijke invloed gehad op de ontwikkeling van cultuur en godsdienst van de berbers.</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 xml:space="preserve">2.1.2 </w:t>
      </w:r>
      <w:r w:rsidRPr="007306DC">
        <w:rPr>
          <w:i/>
          <w:iCs/>
          <w:color w:val="auto"/>
        </w:rPr>
        <w:t>De Romeinen (146 v. Chr. – 429 n. Chr.)</w:t>
      </w:r>
      <w:r w:rsidRPr="007306DC">
        <w:rPr>
          <w:color w:val="auto"/>
        </w:rPr>
        <w:t>21</w:t>
      </w:r>
    </w:p>
    <w:p w:rsidR="00501C2D" w:rsidRPr="007306DC" w:rsidRDefault="00501C2D" w:rsidP="007306DC">
      <w:pPr>
        <w:pStyle w:val="Default"/>
        <w:jc w:val="both"/>
      </w:pPr>
      <w:r w:rsidRPr="007306DC">
        <w:t xml:space="preserve">21 Paul-Albert Février, </w:t>
      </w:r>
      <w:r w:rsidRPr="007306DC">
        <w:rPr>
          <w:i/>
          <w:iCs/>
        </w:rPr>
        <w:t>Approches du Maghreb Romain; Pouvoirs, Différences et Conflits</w:t>
      </w:r>
      <w:r w:rsidRPr="007306DC">
        <w:t xml:space="preserve">, 2 vols. (Aix-en- Provence: Edisud, 1989-1990), David Cherry, </w:t>
      </w:r>
      <w:r w:rsidRPr="007306DC">
        <w:rPr>
          <w:i/>
          <w:iCs/>
        </w:rPr>
        <w:t xml:space="preserve">Frontier and Society ín Roman North Africa </w:t>
      </w:r>
      <w:r w:rsidRPr="007306DC">
        <w:t>(Oxford: Clarendon Press, 1998).</w:t>
      </w:r>
    </w:p>
    <w:p w:rsidR="00501C2D" w:rsidRPr="007306DC" w:rsidRDefault="00501C2D" w:rsidP="007306DC">
      <w:pPr>
        <w:pStyle w:val="Default"/>
        <w:jc w:val="both"/>
      </w:pPr>
      <w:r w:rsidRPr="007306DC">
        <w:t xml:space="preserve">22 Zie voor een toelichting hierbij Adolf von Harnack, </w:t>
      </w:r>
      <w:r w:rsidRPr="007306DC">
        <w:rPr>
          <w:i/>
          <w:iCs/>
        </w:rPr>
        <w:t>Die Mission und Ausbreitung des Christentums (in den ersten drei Jahrhunderten)</w:t>
      </w:r>
      <w:r w:rsidRPr="007306DC">
        <w:t>, vol. 2, vierte verbesserte und vermehrte Auflage (Leipzig: J.C. Hinrichs’sche Buchhandlung, 1924), 887-919.</w:t>
      </w:r>
    </w:p>
    <w:p w:rsidR="00501C2D" w:rsidRPr="007306DC" w:rsidRDefault="00501C2D" w:rsidP="007306DC">
      <w:pPr>
        <w:pStyle w:val="Default"/>
        <w:jc w:val="both"/>
      </w:pPr>
      <w:r w:rsidRPr="007306DC">
        <w:t xml:space="preserve">23 W.H.C. Frend, </w:t>
      </w:r>
      <w:r w:rsidRPr="007306DC">
        <w:rPr>
          <w:i/>
          <w:iCs/>
        </w:rPr>
        <w:t xml:space="preserve">The Donatist Church </w:t>
      </w:r>
      <w:r w:rsidRPr="007306DC">
        <w:t xml:space="preserve">(Oxford: Clarendon Press, 1952), Bernhard Kriegbaum, </w:t>
      </w:r>
      <w:r w:rsidRPr="007306DC">
        <w:rPr>
          <w:i/>
          <w:iCs/>
        </w:rPr>
        <w:t xml:space="preserve">Kirche der Traditoren oder Kirche der Martyrer? Die Vorgeschichte des Donatismus </w:t>
      </w:r>
      <w:r w:rsidRPr="007306DC">
        <w:t>(Innsbruck: Tyrolia-Verlag, 1986).</w:t>
      </w:r>
    </w:p>
    <w:p w:rsidR="00501C2D" w:rsidRPr="007306DC" w:rsidRDefault="00501C2D" w:rsidP="007306DC">
      <w:pPr>
        <w:pStyle w:val="Default"/>
        <w:jc w:val="both"/>
        <w:rPr>
          <w:color w:val="auto"/>
        </w:rPr>
      </w:pPr>
      <w:r w:rsidRPr="007306DC">
        <w:t xml:space="preserve">24 Over Donatus en vele andere bisschoppen, presbyters, diakenen, etc., uit de vroege kerk, kan gelezen worden bij André Mandouze, ed., </w:t>
      </w:r>
      <w:r w:rsidRPr="007306DC">
        <w:rPr>
          <w:i/>
          <w:iCs/>
        </w:rPr>
        <w:t xml:space="preserve">Prosopographie chrétienne du Bas-Empire 1: Prosopographie de l’Afrique chrétienne (303-533) </w:t>
      </w:r>
      <w:r w:rsidRPr="007306DC">
        <w:t xml:space="preserve">(Paris: Editions du Centre National de la recherche Scientifique, 1982). Helaas gaat dit werk maar tot aan het jaar. 533 n. Chr. Achteraan heeft dit werk nog een handige lijst van de oude steden met hun corresponderende moderne namen (p. 1310-1317), evenals een tabel met officiële concilies (p. 1318-1320). Een iets uitgebreidere lijst van concilies kan gevonden worden bij A. Audollent, “Afrique </w:t>
      </w:r>
      <w:smartTag w:uri="urn:schemas-microsoft-com:office:smarttags" w:element="metricconverter">
        <w:smartTagPr>
          <w:attr w:name="ProductID" w:val="1,”"/>
        </w:smartTagPr>
        <w:r w:rsidRPr="007306DC">
          <w:t>1,”</w:t>
        </w:r>
      </w:smartTag>
      <w:r w:rsidRPr="007306DC">
        <w:t xml:space="preserve"> in </w:t>
      </w:r>
      <w:r w:rsidRPr="007306DC">
        <w:rPr>
          <w:i/>
          <w:iCs/>
        </w:rPr>
        <w:t xml:space="preserve">Dictionnaire d’Histoire et de Géographie ecclésiastique, </w:t>
      </w:r>
      <w:r w:rsidRPr="007306DC">
        <w:t>ed. Alfred Baudrillart, Albert Vogt, en Urbain Rouziès (Paris: Letouzey et Ané, 1912), 811-822.</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Na de verovering van Carthago op de Feniciërs vestigden de Romeinen zich meer en meer in Noord-Afrika totdat ze dit gebied stevig in handen hadden. Onder Romeinse bouw en bestuur bloeiden de steden en werd de plaatselijke cultuur sterk beïnvloed. De Romeinse provincies van Noord-Afrika werden vastgelegd, en dezen kenden een tamelijk grote mate van voorspoed en welvaart. Onder de Romeinse heerschappij is het evangelie naar Noord-Afrika gekomen, al is het niet geheel duidelijk hoe dit is gebeurd.22 We horen het eerst van christenen in de ‘akten van de martelaren van Scilli’, die verslag doen van de marteldood van christenen in het jaar 180 n. Chr. De Romeinse heerschappij heeft tot in de 5e eeuw n. Chr. geduurd.</w:t>
      </w:r>
    </w:p>
    <w:p w:rsidR="007306DC" w:rsidRDefault="007306DC" w:rsidP="007306DC">
      <w:pPr>
        <w:pStyle w:val="Default"/>
        <w:jc w:val="both"/>
        <w:rPr>
          <w:color w:val="auto"/>
        </w:rPr>
      </w:pPr>
    </w:p>
    <w:p w:rsidR="00501C2D" w:rsidRPr="007306DC" w:rsidRDefault="00501C2D" w:rsidP="007306DC">
      <w:pPr>
        <w:pStyle w:val="Default"/>
        <w:jc w:val="both"/>
        <w:rPr>
          <w:b/>
          <w:color w:val="auto"/>
        </w:rPr>
      </w:pPr>
      <w:r w:rsidRPr="007306DC">
        <w:rPr>
          <w:b/>
          <w:color w:val="auto"/>
        </w:rPr>
        <w:t>2.1.2.1 Het donatisme23</w:t>
      </w:r>
    </w:p>
    <w:p w:rsidR="007306DC" w:rsidRDefault="00501C2D" w:rsidP="007306DC">
      <w:pPr>
        <w:pStyle w:val="Default"/>
        <w:jc w:val="both"/>
        <w:rPr>
          <w:color w:val="auto"/>
        </w:rPr>
      </w:pPr>
      <w:r w:rsidRPr="007306DC">
        <w:rPr>
          <w:color w:val="auto"/>
        </w:rPr>
        <w:t>De donatistische strijd vindt zijn oorsprong in het aanstellen van een bisschop in het jaar 312. Deze bisschop, evenals degene die hem had aangesteld, werd beschuldigd van het overdragen van de Heilige Schrift aan de heidense autoriteiten, onder druk en dreiging van vervolging. Donatus24 werd de leider van de stroming in het christendom van Noord-Afrika die de kerk ‘puur en zuiver’ wilde houden, door hen die ‘afvielen’ in tijden van vervolging, maar later onder berouw in de kerk wilden terugkeren, af te wijzen. De donatisten zagen zichzelf als ‘de ware kerk’ en de katholieke kerk als 14</w:t>
      </w:r>
    </w:p>
    <w:p w:rsidR="00501C2D" w:rsidRPr="007306DC" w:rsidRDefault="00501C2D" w:rsidP="007306DC">
      <w:pPr>
        <w:pStyle w:val="Default"/>
        <w:jc w:val="both"/>
        <w:rPr>
          <w:color w:val="auto"/>
        </w:rPr>
      </w:pPr>
      <w:r w:rsidRPr="007306DC">
        <w:rPr>
          <w:color w:val="auto"/>
        </w:rPr>
        <w:t>‘afvallig’. De Romeinse autoriteiten waren niet gebaat bij een dergelijke splitsing en probeerden de donatisten terug in de katholieke kerk te drijven, onder meer door middel van vervolging. In het jaar 411 werd het donatisme op een officieel concilie in Carthago veroordeeld, waarna de donatisten in geval van verzet zowel door de katholieken als door de autoriteiten vervolgd werden. Augustinus was op het concilie de grote voorvechter van de katholieken. Lange tijd hebben er in veel steden en dorpen in Noord-Afrika zowel een katholiek bisdom als een rivaliserend donatistisch bisdom bestaan.</w:t>
      </w:r>
    </w:p>
    <w:p w:rsidR="007306DC" w:rsidRDefault="007306DC" w:rsidP="007306DC">
      <w:pPr>
        <w:pStyle w:val="Default"/>
        <w:jc w:val="both"/>
        <w:rPr>
          <w:color w:val="auto"/>
        </w:rPr>
      </w:pPr>
    </w:p>
    <w:p w:rsidR="00501C2D" w:rsidRPr="007306DC" w:rsidRDefault="00501C2D" w:rsidP="007306DC">
      <w:pPr>
        <w:pStyle w:val="Default"/>
        <w:jc w:val="both"/>
        <w:rPr>
          <w:b/>
          <w:color w:val="auto"/>
        </w:rPr>
      </w:pPr>
      <w:r w:rsidRPr="007306DC">
        <w:rPr>
          <w:b/>
          <w:color w:val="auto"/>
        </w:rPr>
        <w:t xml:space="preserve">2.1.3 </w:t>
      </w:r>
      <w:r w:rsidRPr="007306DC">
        <w:rPr>
          <w:b/>
          <w:i/>
          <w:iCs/>
          <w:color w:val="auto"/>
        </w:rPr>
        <w:t>De Vandalen (429 – 533)25</w:t>
      </w:r>
    </w:p>
    <w:p w:rsidR="00501C2D" w:rsidRPr="007306DC" w:rsidRDefault="00501C2D" w:rsidP="007306DC">
      <w:pPr>
        <w:pStyle w:val="Default"/>
        <w:jc w:val="both"/>
      </w:pPr>
      <w:r w:rsidRPr="007306DC">
        <w:t xml:space="preserve">25 Christian Courtois, </w:t>
      </w:r>
      <w:r w:rsidRPr="007306DC">
        <w:rPr>
          <w:i/>
          <w:iCs/>
        </w:rPr>
        <w:t>Les Vandales et l’Afrique</w:t>
      </w:r>
      <w:r w:rsidRPr="007306DC">
        <w:t xml:space="preserve">, Réimpression de l’édition Paris 1955 (Aalen : Scientia Verlag, 1964), H.J. Diesner, </w:t>
      </w:r>
      <w:r w:rsidRPr="007306DC">
        <w:rPr>
          <w:i/>
          <w:iCs/>
        </w:rPr>
        <w:t xml:space="preserve">Das Vandalenreich: Aufstieg und Untergang </w:t>
      </w:r>
      <w:r w:rsidRPr="007306DC">
        <w:t>(Stuttgart: Kohlhammer, 1966).</w:t>
      </w:r>
    </w:p>
    <w:p w:rsidR="00501C2D" w:rsidRPr="007306DC" w:rsidRDefault="00501C2D" w:rsidP="007306DC">
      <w:pPr>
        <w:pStyle w:val="Default"/>
        <w:jc w:val="both"/>
      </w:pPr>
      <w:r w:rsidRPr="007306DC">
        <w:t>26 Het arianisme is een ketterse vorm van het christendom waarin - eenvoudig gesteld - het mens-zijn van Christus ten koste van zijn God-zijn overbelicht wordt.</w:t>
      </w:r>
    </w:p>
    <w:p w:rsidR="00501C2D" w:rsidRPr="007306DC" w:rsidRDefault="00501C2D" w:rsidP="007306DC">
      <w:pPr>
        <w:pStyle w:val="Default"/>
        <w:jc w:val="both"/>
        <w:rPr>
          <w:color w:val="auto"/>
        </w:rPr>
      </w:pPr>
      <w:r w:rsidRPr="007306DC">
        <w:t xml:space="preserve">27 Het standaardwerk is hier nog altijd Charles Diehl, </w:t>
      </w:r>
      <w:r w:rsidRPr="007306DC">
        <w:rPr>
          <w:i/>
          <w:iCs/>
        </w:rPr>
        <w:t xml:space="preserve">L’Afrique Byzantine. Histoire de la Domination Byzantine en Afrique </w:t>
      </w:r>
      <w:r w:rsidRPr="007306DC">
        <w:t xml:space="preserve">(Paris: Leroux, 1896). Zie ook René Guerdan, </w:t>
      </w:r>
      <w:r w:rsidRPr="007306DC">
        <w:rPr>
          <w:i/>
          <w:iCs/>
        </w:rPr>
        <w:t>Byzantium, glorie en verval van een duizendjarig rijk</w:t>
      </w:r>
      <w:r w:rsidRPr="007306DC">
        <w:t>, 2e druk (Antwerpen: N.V. Standaard Boekhandel, 1959).</w:t>
      </w:r>
    </w:p>
    <w:p w:rsidR="00501C2D" w:rsidRPr="007306DC" w:rsidRDefault="00501C2D" w:rsidP="007306DC">
      <w:pPr>
        <w:pStyle w:val="Default"/>
        <w:jc w:val="both"/>
        <w:rPr>
          <w:color w:val="auto"/>
        </w:rPr>
      </w:pPr>
      <w:r w:rsidRPr="007306DC">
        <w:rPr>
          <w:color w:val="auto"/>
        </w:rPr>
        <w:t>In het jaar 429 steken de Vandalen onder leiding van Genseric de straat van Gibraltar over. Na een vredesverdrag met de stad Hippo in 435 volgt in 439 de verovering van Carthago. Genseric sterft in 477 en wordt opgevolgd door zijn zoon Huneric. De opvolgers van Huneric zijn Gunthamund in 484 (Genserics kleinzoon), Thrasamund in 496 (Gunthamunds broer), Hilderic in 523 (Hunerics zoon), en Gelimer in 530 (Genserics achterkleinzoon). In het jaar 533 landen de Byzantijnse troepen in Noord-Afrika en nabij Carthago wordt de laatste tegenstand van de Vandalen gebroken, waarna Gelimer zich overgeeft. De Vandalen brachten een ariaans christendom26 mee en duldden in het door hen veroverde gebied de zogenaamde orthodoxe vormen van het christendom niet. Vooral onder Huneric werden zowel katholieken als donatisten meedogenloos vervolgd.</w:t>
      </w:r>
    </w:p>
    <w:p w:rsidR="007306DC" w:rsidRDefault="007306DC" w:rsidP="007306DC">
      <w:pPr>
        <w:pStyle w:val="Default"/>
        <w:jc w:val="both"/>
        <w:rPr>
          <w:color w:val="auto"/>
        </w:rPr>
      </w:pPr>
    </w:p>
    <w:p w:rsidR="00501C2D" w:rsidRPr="007306DC" w:rsidRDefault="00501C2D" w:rsidP="007306DC">
      <w:pPr>
        <w:pStyle w:val="Default"/>
        <w:jc w:val="both"/>
        <w:rPr>
          <w:b/>
          <w:color w:val="auto"/>
        </w:rPr>
      </w:pPr>
      <w:r w:rsidRPr="007306DC">
        <w:rPr>
          <w:b/>
          <w:color w:val="auto"/>
        </w:rPr>
        <w:t xml:space="preserve">2.1.4 </w:t>
      </w:r>
      <w:r w:rsidRPr="007306DC">
        <w:rPr>
          <w:b/>
          <w:i/>
          <w:iCs/>
          <w:color w:val="auto"/>
        </w:rPr>
        <w:t>De Byzantijnen (533 – 649)27</w:t>
      </w:r>
    </w:p>
    <w:p w:rsidR="007306DC" w:rsidRDefault="00501C2D" w:rsidP="007306DC">
      <w:pPr>
        <w:pStyle w:val="Default"/>
        <w:jc w:val="both"/>
        <w:rPr>
          <w:color w:val="auto"/>
        </w:rPr>
      </w:pPr>
      <w:r w:rsidRPr="007306DC">
        <w:rPr>
          <w:color w:val="auto"/>
        </w:rPr>
        <w:t>In opdracht van keizer Justinianus verovert legeraanvoerder Belisarius Noord-Afrika op de Vandalen. Door middel van een edict in het jaar 535 wordt de katholieke orthodoxie hersteld 15</w:t>
      </w:r>
    </w:p>
    <w:p w:rsidR="00501C2D" w:rsidRPr="007306DC" w:rsidRDefault="00501C2D" w:rsidP="007306DC">
      <w:pPr>
        <w:pStyle w:val="Default"/>
        <w:jc w:val="both"/>
        <w:rPr>
          <w:color w:val="auto"/>
        </w:rPr>
      </w:pPr>
      <w:r w:rsidRPr="007306DC">
        <w:rPr>
          <w:color w:val="auto"/>
        </w:rPr>
        <w:t>en wordt gepoogd orde op zaken te stellen. In 649 lijden Byzantijnse groepen tijdens een Arabische aanval bij Sbeitla een grote nederlaag, en vindt patriarch Gregorius de dood. Deze gebeurtenis betekende de doodsteek voor de Byzantijnen. Doordat de Arabische verovering echter in meerdere etappes verloopt, eindigt de Byzantijnse heerschappij in haar totaliteit pas definitief in 709, als legeraanvoerder Julianus zich in het uiterste westen bij Ceuta overgeeft.</w:t>
      </w:r>
    </w:p>
    <w:p w:rsidR="007306DC" w:rsidRDefault="007306DC" w:rsidP="007306DC">
      <w:pPr>
        <w:pStyle w:val="Default"/>
        <w:jc w:val="both"/>
        <w:rPr>
          <w:color w:val="auto"/>
        </w:rPr>
      </w:pPr>
    </w:p>
    <w:p w:rsidR="00501C2D" w:rsidRPr="007306DC" w:rsidRDefault="00501C2D" w:rsidP="007306DC">
      <w:pPr>
        <w:pStyle w:val="Default"/>
        <w:jc w:val="both"/>
        <w:rPr>
          <w:b/>
          <w:color w:val="auto"/>
        </w:rPr>
      </w:pPr>
      <w:r w:rsidRPr="007306DC">
        <w:rPr>
          <w:b/>
          <w:color w:val="auto"/>
        </w:rPr>
        <w:t xml:space="preserve">2.1.5 </w:t>
      </w:r>
      <w:r w:rsidRPr="007306DC">
        <w:rPr>
          <w:b/>
          <w:i/>
          <w:iCs/>
          <w:color w:val="auto"/>
        </w:rPr>
        <w:t>De Arabieren (649 – eind 12e eeuw) 28</w:t>
      </w:r>
    </w:p>
    <w:p w:rsidR="00501C2D" w:rsidRPr="007306DC" w:rsidRDefault="00501C2D" w:rsidP="007306DC">
      <w:pPr>
        <w:pStyle w:val="Default"/>
        <w:jc w:val="both"/>
      </w:pPr>
      <w:r w:rsidRPr="007306DC">
        <w:t xml:space="preserve">28 Ibn Abd al-Hakam, </w:t>
      </w:r>
      <w:r w:rsidRPr="007306DC">
        <w:rPr>
          <w:i/>
          <w:iCs/>
        </w:rPr>
        <w:t xml:space="preserve">Conquête de l’Afrique du Nord et de l’Espagne, </w:t>
      </w:r>
      <w:r w:rsidRPr="007306DC">
        <w:t xml:space="preserve">2e éditon revue et augmenteé par Albert Gateau (Alger: Carborel, 1947), Hugh Kennedy, ed., </w:t>
      </w:r>
      <w:r w:rsidRPr="007306DC">
        <w:rPr>
          <w:i/>
          <w:iCs/>
        </w:rPr>
        <w:t xml:space="preserve">An Historical Atlas of Islam, </w:t>
      </w:r>
      <w:r w:rsidRPr="007306DC">
        <w:t>2nd rev. ed. (Leiden: Brill, 2002). Zie ook Dall’Arche die uitvoerig ingaat op de Arabische verovering van Noord-Afrika, Dall’Arche, 79- 148.</w:t>
      </w:r>
    </w:p>
    <w:p w:rsidR="00501C2D" w:rsidRPr="007306DC" w:rsidRDefault="00501C2D" w:rsidP="007306DC">
      <w:pPr>
        <w:pStyle w:val="Default"/>
        <w:jc w:val="both"/>
        <w:rPr>
          <w:color w:val="auto"/>
        </w:rPr>
      </w:pPr>
      <w:r w:rsidRPr="007306DC">
        <w:t xml:space="preserve">29 Zie voor de plaats van joden in Noord-Afrika tot de 12e eeuw Joseph Tolédano, </w:t>
      </w:r>
      <w:r w:rsidRPr="007306DC">
        <w:rPr>
          <w:i/>
          <w:iCs/>
        </w:rPr>
        <w:t xml:space="preserve">Les Juifs maghrébins </w:t>
      </w:r>
      <w:r w:rsidRPr="007306DC">
        <w:t>(Éditions Brepols, 1989), 11-19 (met uitgebreide literatuurlijst).</w:t>
      </w:r>
    </w:p>
    <w:p w:rsidR="007306DC" w:rsidRDefault="00501C2D" w:rsidP="007306DC">
      <w:pPr>
        <w:pStyle w:val="Default"/>
        <w:jc w:val="both"/>
        <w:rPr>
          <w:color w:val="auto"/>
        </w:rPr>
      </w:pPr>
      <w:r w:rsidRPr="007306DC">
        <w:rPr>
          <w:color w:val="auto"/>
        </w:rPr>
        <w:t xml:space="preserve">De Arabische overwinning bij Sbeitla in het jaar 649 was het begin van de verovering van Noord-Afrika. De verovering bestond echter uit meerdere etappes en duurde daardoor tot </w:t>
      </w:r>
      <w:smartTag w:uri="urn:schemas-microsoft-com:office:smarttags" w:element="metricconverter">
        <w:smartTagPr>
          <w:attr w:name="ProductID" w:val="714. In"/>
        </w:smartTagPr>
        <w:r w:rsidRPr="007306DC">
          <w:rPr>
            <w:color w:val="auto"/>
          </w:rPr>
          <w:t>714. In</w:t>
        </w:r>
      </w:smartTag>
      <w:r w:rsidRPr="007306DC">
        <w:rPr>
          <w:color w:val="auto"/>
        </w:rPr>
        <w:t xml:space="preserve"> het jaar 670 werd de moslimstad Kairouan gebouwd, en in 698 werd Carthago definitief ingenomen. Noord-Afrika werd niet alleen veroverd, maar ook geïslamiseerd, waardoor het gehele gebied tot op de dag van vandaag islamitisch is en de bevolking vrijwel geheel uit moslims bestaat. Langzaamaan werd de islam gemeengoed, en hoewel christenen en joden nog lange tijd hun plaats hadden onder de moslimheerschappij,29 houdt het inheemse christendom in de 12e eeuw op te bestaan. 16</w:t>
      </w:r>
    </w:p>
    <w:p w:rsidR="007306DC" w:rsidRDefault="007306DC" w:rsidP="007306DC">
      <w:pPr>
        <w:pStyle w:val="Default"/>
        <w:jc w:val="both"/>
        <w:rPr>
          <w:color w:val="auto"/>
        </w:rPr>
      </w:pPr>
    </w:p>
    <w:p w:rsidR="007306DC" w:rsidRDefault="007306DC" w:rsidP="007306DC">
      <w:pPr>
        <w:pStyle w:val="Default"/>
        <w:jc w:val="both"/>
        <w:rPr>
          <w:color w:val="auto"/>
        </w:rPr>
      </w:pPr>
      <w:r>
        <w:rPr>
          <w:color w:val="auto"/>
        </w:rPr>
        <w:br/>
      </w:r>
    </w:p>
    <w:p w:rsidR="00501C2D" w:rsidRPr="007306DC" w:rsidRDefault="007306DC" w:rsidP="007306DC">
      <w:pPr>
        <w:pStyle w:val="Default"/>
        <w:jc w:val="both"/>
        <w:rPr>
          <w:color w:val="auto"/>
        </w:rPr>
      </w:pPr>
      <w:r>
        <w:rPr>
          <w:color w:val="auto"/>
        </w:rPr>
        <w:br w:type="page"/>
      </w:r>
      <w:r w:rsidR="00501C2D" w:rsidRPr="007306DC">
        <w:rPr>
          <w:b/>
          <w:bCs/>
          <w:color w:val="auto"/>
        </w:rPr>
        <w:t>2.2 De onderzoeksliteratuur</w:t>
      </w:r>
    </w:p>
    <w:p w:rsidR="00501C2D" w:rsidRPr="007306DC" w:rsidRDefault="00501C2D" w:rsidP="007306DC">
      <w:pPr>
        <w:pStyle w:val="Default"/>
        <w:jc w:val="both"/>
        <w:rPr>
          <w:color w:val="auto"/>
        </w:rPr>
      </w:pPr>
      <w:r w:rsidRPr="007306DC">
        <w:rPr>
          <w:color w:val="auto"/>
        </w:rPr>
        <w:t>Hieronder geven we de door ons geanalyseerde onderzoeksliteratuur. Deze werken zijn ons vertrekpunt, hoewel we in ons onderzoek ook andere relevante literatuur zullen betrekken. De lijst is chronologisch opgesteld, aan de hand van het jaar van publicatie.</w:t>
      </w:r>
    </w:p>
    <w:p w:rsidR="00501C2D" w:rsidRPr="007306DC" w:rsidRDefault="00501C2D" w:rsidP="007306DC">
      <w:pPr>
        <w:pStyle w:val="Default"/>
        <w:jc w:val="both"/>
        <w:rPr>
          <w:color w:val="auto"/>
        </w:rPr>
      </w:pPr>
      <w:r w:rsidRPr="007306DC">
        <w:rPr>
          <w:color w:val="auto"/>
        </w:rPr>
        <w:t xml:space="preserve">1865 Guys, Henry. </w:t>
      </w:r>
      <w:r w:rsidRPr="007306DC">
        <w:rPr>
          <w:i/>
          <w:iCs/>
          <w:color w:val="auto"/>
        </w:rPr>
        <w:t xml:space="preserve">Recherches sur la destruction du christianisme dans l’Afrique septentrionale et sur les causes qui ont retardé la colonisation française en Algérie. </w:t>
      </w:r>
      <w:r w:rsidRPr="007306DC">
        <w:rPr>
          <w:color w:val="auto"/>
        </w:rPr>
        <w:t>Paris: E. Dentu.</w:t>
      </w:r>
    </w:p>
    <w:p w:rsidR="00501C2D" w:rsidRPr="007306DC" w:rsidRDefault="00501C2D" w:rsidP="007306DC">
      <w:pPr>
        <w:pStyle w:val="Default"/>
        <w:jc w:val="both"/>
        <w:rPr>
          <w:color w:val="auto"/>
        </w:rPr>
      </w:pPr>
      <w:r w:rsidRPr="007306DC">
        <w:rPr>
          <w:color w:val="auto"/>
        </w:rPr>
        <w:t xml:space="preserve">1898 Holme, Leonard Ralph. </w:t>
      </w:r>
      <w:r w:rsidRPr="007306DC">
        <w:rPr>
          <w:i/>
          <w:iCs/>
          <w:color w:val="auto"/>
        </w:rPr>
        <w:t xml:space="preserve">The Extinction of the Christian Churches in North Africa. </w:t>
      </w:r>
      <w:r w:rsidRPr="007306DC">
        <w:rPr>
          <w:color w:val="auto"/>
        </w:rPr>
        <w:t>London: Cambridge University Press Warehouse.</w:t>
      </w:r>
    </w:p>
    <w:p w:rsidR="00501C2D" w:rsidRPr="007306DC" w:rsidRDefault="00501C2D" w:rsidP="007306DC">
      <w:pPr>
        <w:pStyle w:val="Default"/>
        <w:jc w:val="both"/>
        <w:rPr>
          <w:color w:val="auto"/>
        </w:rPr>
      </w:pPr>
      <w:r w:rsidRPr="007306DC">
        <w:rPr>
          <w:color w:val="auto"/>
        </w:rPr>
        <w:t xml:space="preserve">1915 Mesnage, Joseph. </w:t>
      </w:r>
      <w:r w:rsidRPr="007306DC">
        <w:rPr>
          <w:i/>
          <w:iCs/>
          <w:color w:val="auto"/>
        </w:rPr>
        <w:t xml:space="preserve">Le christianisme en Afrique. Déclin et extinction. </w:t>
      </w:r>
      <w:r w:rsidRPr="007306DC">
        <w:rPr>
          <w:color w:val="auto"/>
        </w:rPr>
        <w:t>Paris: Auguste Picard.</w:t>
      </w:r>
    </w:p>
    <w:p w:rsidR="00501C2D" w:rsidRPr="007306DC" w:rsidRDefault="00501C2D" w:rsidP="007306DC">
      <w:pPr>
        <w:pStyle w:val="Default"/>
        <w:jc w:val="both"/>
        <w:rPr>
          <w:color w:val="auto"/>
        </w:rPr>
      </w:pPr>
      <w:r w:rsidRPr="007306DC">
        <w:rPr>
          <w:color w:val="auto"/>
        </w:rPr>
        <w:t xml:space="preserve">1918 Iselin, Emil Ludwig. </w:t>
      </w:r>
      <w:r w:rsidRPr="007306DC">
        <w:rPr>
          <w:i/>
          <w:iCs/>
          <w:color w:val="auto"/>
        </w:rPr>
        <w:t>Der Untergang der christlichen Kirche in Nordafrika</w:t>
      </w:r>
      <w:r w:rsidRPr="007306DC">
        <w:rPr>
          <w:color w:val="auto"/>
        </w:rPr>
        <w:t>. Basel: Verlag der Basler Missionsbuchhandlung.</w:t>
      </w:r>
    </w:p>
    <w:p w:rsidR="00501C2D" w:rsidRPr="007306DC" w:rsidRDefault="00501C2D" w:rsidP="007306DC">
      <w:pPr>
        <w:pStyle w:val="Default"/>
        <w:jc w:val="both"/>
        <w:rPr>
          <w:color w:val="auto"/>
        </w:rPr>
      </w:pPr>
      <w:r w:rsidRPr="007306DC">
        <w:rPr>
          <w:color w:val="auto"/>
        </w:rPr>
        <w:t xml:space="preserve">1936 Seston, William. “Sur les derniers temps du christianisme en Afrique.” </w:t>
      </w:r>
      <w:r w:rsidRPr="007306DC">
        <w:rPr>
          <w:i/>
          <w:iCs/>
          <w:color w:val="auto"/>
        </w:rPr>
        <w:t xml:space="preserve">Mélanges d’archéologie et d’histoire </w:t>
      </w:r>
      <w:r w:rsidRPr="007306DC">
        <w:rPr>
          <w:color w:val="auto"/>
        </w:rPr>
        <w:t>53; 101-124.</w:t>
      </w:r>
    </w:p>
    <w:p w:rsidR="00501C2D" w:rsidRPr="007306DC" w:rsidRDefault="00501C2D" w:rsidP="007306DC">
      <w:pPr>
        <w:pStyle w:val="Default"/>
        <w:jc w:val="both"/>
        <w:rPr>
          <w:color w:val="auto"/>
        </w:rPr>
      </w:pPr>
      <w:r w:rsidRPr="007306DC">
        <w:rPr>
          <w:color w:val="auto"/>
        </w:rPr>
        <w:t xml:space="preserve">1945 Courtois, Christian. “Grégoire VII et l’Afrique du Nord; remarques sur les communautés chrétiennes d’Afrique au XIe siècle (1er article).” </w:t>
      </w:r>
      <w:r w:rsidRPr="007306DC">
        <w:rPr>
          <w:i/>
          <w:iCs/>
          <w:color w:val="auto"/>
        </w:rPr>
        <w:t>Revue Historique</w:t>
      </w:r>
      <w:r w:rsidRPr="007306DC">
        <w:rPr>
          <w:color w:val="auto"/>
        </w:rPr>
        <w:t>, 97-122.</w:t>
      </w:r>
    </w:p>
    <w:p w:rsidR="00501C2D" w:rsidRPr="007306DC" w:rsidRDefault="00501C2D" w:rsidP="007306DC">
      <w:pPr>
        <w:pStyle w:val="Default"/>
        <w:jc w:val="both"/>
        <w:rPr>
          <w:color w:val="auto"/>
        </w:rPr>
      </w:pPr>
      <w:r w:rsidRPr="007306DC">
        <w:rPr>
          <w:color w:val="auto"/>
        </w:rPr>
        <w:t xml:space="preserve">1945 Courtois, Christian. “Grégoire VII et l’Afrique du Nord; remarques sur les communautés chrétiennes d’Afrique au XIe siècle (Fin).” </w:t>
      </w:r>
      <w:r w:rsidRPr="007306DC">
        <w:rPr>
          <w:i/>
          <w:iCs/>
          <w:color w:val="auto"/>
        </w:rPr>
        <w:t>Revue Historique</w:t>
      </w:r>
      <w:r w:rsidRPr="007306DC">
        <w:rPr>
          <w:color w:val="auto"/>
        </w:rPr>
        <w:t>, 193-226.</w:t>
      </w:r>
    </w:p>
    <w:p w:rsidR="00501C2D" w:rsidRPr="007306DC" w:rsidRDefault="00501C2D" w:rsidP="007306DC">
      <w:pPr>
        <w:pStyle w:val="Default"/>
        <w:jc w:val="both"/>
        <w:rPr>
          <w:color w:val="auto"/>
        </w:rPr>
      </w:pPr>
      <w:r w:rsidRPr="007306DC">
        <w:rPr>
          <w:color w:val="auto"/>
        </w:rPr>
        <w:t xml:space="preserve">1958 Corbon, Jean. “Réflexions sur la mort d’une Eglise.” </w:t>
      </w:r>
      <w:r w:rsidRPr="007306DC">
        <w:rPr>
          <w:i/>
          <w:iCs/>
          <w:color w:val="auto"/>
        </w:rPr>
        <w:t>Proche-Orient Chrétien</w:t>
      </w:r>
      <w:r w:rsidRPr="007306DC">
        <w:rPr>
          <w:color w:val="auto"/>
        </w:rPr>
        <w:t>, l97- 226.</w:t>
      </w:r>
    </w:p>
    <w:p w:rsidR="00501C2D" w:rsidRPr="007306DC" w:rsidRDefault="00501C2D" w:rsidP="007306DC">
      <w:pPr>
        <w:pStyle w:val="Default"/>
        <w:jc w:val="both"/>
        <w:rPr>
          <w:color w:val="auto"/>
        </w:rPr>
      </w:pPr>
      <w:r w:rsidRPr="007306DC">
        <w:rPr>
          <w:color w:val="auto"/>
        </w:rPr>
        <w:t xml:space="preserve">1959 Speel, C.J. “The Disappearance of Christianity from North Africa in the Wake of the Rise of Islam.” </w:t>
      </w:r>
      <w:r w:rsidRPr="007306DC">
        <w:rPr>
          <w:i/>
          <w:iCs/>
          <w:color w:val="auto"/>
        </w:rPr>
        <w:t xml:space="preserve">Church History </w:t>
      </w:r>
      <w:r w:rsidRPr="007306DC">
        <w:rPr>
          <w:color w:val="auto"/>
        </w:rPr>
        <w:t>29: 379-397 .</w:t>
      </w:r>
    </w:p>
    <w:p w:rsidR="00501C2D" w:rsidRPr="007306DC" w:rsidRDefault="00501C2D" w:rsidP="007306DC">
      <w:pPr>
        <w:pStyle w:val="Default"/>
        <w:jc w:val="both"/>
        <w:rPr>
          <w:color w:val="auto"/>
        </w:rPr>
      </w:pPr>
      <w:r w:rsidRPr="007306DC">
        <w:rPr>
          <w:color w:val="auto"/>
        </w:rPr>
        <w:t>1966 Baker, Dwight L. “How a Whole Church Vanished, Five reasons why no larger body of Christendom exists in North Africa, the Middle East, and Asia Minor.” Christianity Today 1l: 3-5.</w:t>
      </w:r>
    </w:p>
    <w:p w:rsidR="00501C2D" w:rsidRPr="007306DC" w:rsidRDefault="00501C2D" w:rsidP="007306DC">
      <w:pPr>
        <w:pStyle w:val="Default"/>
        <w:jc w:val="both"/>
        <w:rPr>
          <w:color w:val="auto"/>
        </w:rPr>
      </w:pPr>
      <w:r w:rsidRPr="007306DC">
        <w:rPr>
          <w:color w:val="auto"/>
        </w:rPr>
        <w:t xml:space="preserve">1967 Dall’Arche, Mario. </w:t>
      </w:r>
      <w:r w:rsidRPr="007306DC">
        <w:rPr>
          <w:i/>
          <w:iCs/>
          <w:color w:val="auto"/>
        </w:rPr>
        <w:t xml:space="preserve">Scomparsa del Cristianesimo ed espansione dell’Islam nell’Africa settentrionale. </w:t>
      </w:r>
      <w:r w:rsidRPr="007306DC">
        <w:rPr>
          <w:color w:val="auto"/>
        </w:rPr>
        <w:t>Roma: Edizioni Fiamma Nova.</w:t>
      </w:r>
    </w:p>
    <w:p w:rsidR="00501C2D" w:rsidRPr="007306DC" w:rsidRDefault="00501C2D" w:rsidP="007306DC">
      <w:pPr>
        <w:pStyle w:val="Default"/>
        <w:jc w:val="both"/>
        <w:rPr>
          <w:color w:val="auto"/>
        </w:rPr>
      </w:pPr>
      <w:r w:rsidRPr="007306DC">
        <w:rPr>
          <w:color w:val="auto"/>
        </w:rPr>
        <w:t xml:space="preserve">1967 Heggoy, Willy Normann. “Outside Missionary Interests And Questions.” </w:t>
      </w:r>
      <w:r w:rsidRPr="007306DC">
        <w:rPr>
          <w:i/>
          <w:iCs/>
          <w:color w:val="auto"/>
        </w:rPr>
        <w:t>Journal of Saint Paul School of Theology Methodist</w:t>
      </w:r>
      <w:r w:rsidRPr="007306DC">
        <w:rPr>
          <w:color w:val="auto"/>
        </w:rPr>
        <w:t>, 29-45.</w:t>
      </w:r>
    </w:p>
    <w:p w:rsidR="007306DC" w:rsidRDefault="00501C2D" w:rsidP="007306DC">
      <w:pPr>
        <w:pStyle w:val="Default"/>
        <w:jc w:val="both"/>
        <w:rPr>
          <w:color w:val="auto"/>
        </w:rPr>
      </w:pPr>
      <w:r w:rsidRPr="007306DC">
        <w:rPr>
          <w:color w:val="auto"/>
        </w:rPr>
        <w:t xml:space="preserve">Heggoy, Willy Normann. “Der Untergang der frühen christlichen Kirche in Nordafrika.” In </w:t>
      </w:r>
      <w:r w:rsidRPr="007306DC">
        <w:rPr>
          <w:i/>
          <w:iCs/>
          <w:color w:val="auto"/>
        </w:rPr>
        <w:t>Der Untergang der frühen christlichen Kirche in Nordafrika</w:t>
      </w:r>
      <w:r w:rsidRPr="007306DC">
        <w:rPr>
          <w:color w:val="auto"/>
        </w:rPr>
        <w:t>, Herausgabe Willi Höpfner, 20-27 (brochure zonder publicatiegegevens). 17</w:t>
      </w:r>
    </w:p>
    <w:p w:rsidR="00501C2D" w:rsidRPr="007306DC" w:rsidRDefault="00501C2D" w:rsidP="007306DC">
      <w:pPr>
        <w:pStyle w:val="Default"/>
        <w:jc w:val="both"/>
        <w:rPr>
          <w:color w:val="auto"/>
        </w:rPr>
      </w:pPr>
      <w:r w:rsidRPr="007306DC">
        <w:rPr>
          <w:color w:val="auto"/>
        </w:rPr>
        <w:t xml:space="preserve">1975 Frend, W.H.C. “Nomads and Christianity in the Middle Ages.” </w:t>
      </w:r>
      <w:r w:rsidRPr="007306DC">
        <w:rPr>
          <w:i/>
          <w:iCs/>
          <w:color w:val="auto"/>
        </w:rPr>
        <w:t xml:space="preserve">Journal of Ecclesiastical History </w:t>
      </w:r>
      <w:r w:rsidRPr="007306DC">
        <w:rPr>
          <w:color w:val="auto"/>
        </w:rPr>
        <w:t>26, no. 3: 209-221.</w:t>
      </w:r>
    </w:p>
    <w:p w:rsidR="00501C2D" w:rsidRPr="007306DC" w:rsidRDefault="00501C2D" w:rsidP="007306DC">
      <w:pPr>
        <w:pStyle w:val="Default"/>
        <w:jc w:val="both"/>
        <w:rPr>
          <w:color w:val="auto"/>
        </w:rPr>
      </w:pPr>
      <w:r w:rsidRPr="007306DC">
        <w:rPr>
          <w:color w:val="auto"/>
        </w:rPr>
        <w:t xml:space="preserve">1980 Schoen, Ulrich. “Die Kirche der Berber. Über die mutmaβlichen Gründe ihres Aussterbens.” In </w:t>
      </w:r>
      <w:r w:rsidRPr="007306DC">
        <w:rPr>
          <w:i/>
          <w:iCs/>
          <w:color w:val="auto"/>
        </w:rPr>
        <w:t>Fides pro mundi vita: Missionstheologie heute</w:t>
      </w:r>
      <w:r w:rsidRPr="007306DC">
        <w:rPr>
          <w:color w:val="auto"/>
        </w:rPr>
        <w:t>, Herausgabe Theo Sundermeier, 91-110. Gütersloh: Gütersloher Verlagshaus Mohn.</w:t>
      </w:r>
    </w:p>
    <w:p w:rsidR="00501C2D" w:rsidRPr="007306DC" w:rsidRDefault="00501C2D" w:rsidP="007306DC">
      <w:pPr>
        <w:pStyle w:val="Default"/>
        <w:jc w:val="both"/>
        <w:rPr>
          <w:color w:val="auto"/>
        </w:rPr>
      </w:pPr>
      <w:r w:rsidRPr="007306DC">
        <w:rPr>
          <w:color w:val="auto"/>
        </w:rPr>
        <w:t xml:space="preserve">1984 Cuoq, Joseph. </w:t>
      </w:r>
      <w:r w:rsidRPr="007306DC">
        <w:rPr>
          <w:i/>
          <w:iCs/>
          <w:color w:val="auto"/>
        </w:rPr>
        <w:t>L’Église d’Afrique du Nord du IIe au XIIe siècle</w:t>
      </w:r>
      <w:r w:rsidRPr="007306DC">
        <w:rPr>
          <w:color w:val="auto"/>
        </w:rPr>
        <w:t>. Paris: Le Centurion.</w:t>
      </w:r>
    </w:p>
    <w:p w:rsidR="00501C2D" w:rsidRPr="007306DC" w:rsidRDefault="00501C2D" w:rsidP="007306DC">
      <w:pPr>
        <w:pStyle w:val="Default"/>
        <w:jc w:val="both"/>
        <w:rPr>
          <w:color w:val="auto"/>
        </w:rPr>
      </w:pPr>
      <w:r w:rsidRPr="007306DC">
        <w:rPr>
          <w:color w:val="auto"/>
        </w:rPr>
        <w:t xml:space="preserve">1986 Botha, Chris J. “The Extinction of the Church in North Africa.” </w:t>
      </w:r>
      <w:r w:rsidRPr="007306DC">
        <w:rPr>
          <w:i/>
          <w:iCs/>
          <w:color w:val="auto"/>
        </w:rPr>
        <w:t xml:space="preserve">Journal of Theology for Southern Africa </w:t>
      </w:r>
      <w:r w:rsidRPr="007306DC">
        <w:rPr>
          <w:color w:val="auto"/>
        </w:rPr>
        <w:t>57:24-31.</w:t>
      </w:r>
    </w:p>
    <w:p w:rsidR="00501C2D" w:rsidRPr="007306DC" w:rsidRDefault="00501C2D" w:rsidP="007306DC">
      <w:pPr>
        <w:pStyle w:val="Default"/>
        <w:jc w:val="both"/>
        <w:rPr>
          <w:color w:val="auto"/>
        </w:rPr>
      </w:pPr>
      <w:r w:rsidRPr="007306DC">
        <w:rPr>
          <w:color w:val="auto"/>
        </w:rPr>
        <w:t xml:space="preserve">1993 Shenk, Calvin E. “The Demise of the Church in North Africa and Nubia and its Survival in Egypt and Ethiopia: A Question of Contextualization?” </w:t>
      </w:r>
      <w:r w:rsidRPr="007306DC">
        <w:rPr>
          <w:i/>
          <w:iCs/>
          <w:color w:val="auto"/>
        </w:rPr>
        <w:t xml:space="preserve">Missiology </w:t>
      </w:r>
      <w:r w:rsidRPr="007306DC">
        <w:rPr>
          <w:color w:val="auto"/>
        </w:rPr>
        <w:t>21, no.2: 131-154.</w:t>
      </w:r>
    </w:p>
    <w:p w:rsidR="00501C2D" w:rsidRPr="007306DC" w:rsidRDefault="00501C2D" w:rsidP="007306DC">
      <w:pPr>
        <w:pStyle w:val="Default"/>
        <w:jc w:val="both"/>
        <w:rPr>
          <w:color w:val="auto"/>
        </w:rPr>
      </w:pPr>
      <w:r w:rsidRPr="007306DC">
        <w:rPr>
          <w:color w:val="auto"/>
        </w:rPr>
        <w:t>Deze werken kunnen onderverdeeld worden in de volgende categorieën:</w:t>
      </w:r>
    </w:p>
    <w:p w:rsidR="00501C2D" w:rsidRPr="007306DC" w:rsidRDefault="00501C2D" w:rsidP="007306DC">
      <w:pPr>
        <w:pStyle w:val="Default"/>
        <w:jc w:val="both"/>
        <w:rPr>
          <w:color w:val="auto"/>
        </w:rPr>
      </w:pPr>
      <w:r w:rsidRPr="007306DC">
        <w:rPr>
          <w:color w:val="auto"/>
        </w:rPr>
        <w:t>1) overzichtswerken:</w:t>
      </w:r>
    </w:p>
    <w:p w:rsidR="00501C2D" w:rsidRPr="007306DC" w:rsidRDefault="00501C2D" w:rsidP="007306DC">
      <w:pPr>
        <w:pStyle w:val="Default"/>
        <w:jc w:val="both"/>
        <w:rPr>
          <w:color w:val="auto"/>
        </w:rPr>
      </w:pPr>
    </w:p>
    <w:p w:rsidR="00501C2D" w:rsidRPr="007306DC" w:rsidRDefault="00501C2D" w:rsidP="007306DC">
      <w:pPr>
        <w:pStyle w:val="Default"/>
        <w:jc w:val="both"/>
        <w:rPr>
          <w:color w:val="auto"/>
        </w:rPr>
      </w:pPr>
      <w:r w:rsidRPr="007306DC">
        <w:rPr>
          <w:color w:val="auto"/>
        </w:rPr>
        <w:t xml:space="preserve">Dit zijn uitgebreide werken die de geschiedenis van de kerk proberen te beschrijven, van opkomst tot neergang. Hier zijn onder te rekenen: </w:t>
      </w:r>
      <w:r w:rsidRPr="007306DC">
        <w:rPr>
          <w:b/>
          <w:bCs/>
          <w:color w:val="auto"/>
        </w:rPr>
        <w:t>Holme, Mesnage, Iselin, Dall’Arche, Cuoq</w:t>
      </w:r>
      <w:r w:rsidRPr="007306DC">
        <w:rPr>
          <w:color w:val="auto"/>
        </w:rPr>
        <w:t xml:space="preserve">. In deze categorie zullen in het algemeen de redenen minder expliciet vermeld worden, omdat deze werken een </w:t>
      </w:r>
      <w:r w:rsidRPr="007306DC">
        <w:rPr>
          <w:i/>
          <w:iCs/>
          <w:color w:val="auto"/>
        </w:rPr>
        <w:t xml:space="preserve">overzicht </w:t>
      </w:r>
      <w:r w:rsidRPr="007306DC">
        <w:rPr>
          <w:color w:val="auto"/>
        </w:rPr>
        <w:t>en beschrijving op het oog hebben, en niet zozeer het blootleggen van de redenen als zodanig. Holme en Mesnage nemen overigens in hun overzicht weldegelijk een duidelijk standpunt in aangaande de (hoofd)redenen van het verdwijnen van de kerk.</w:t>
      </w:r>
    </w:p>
    <w:p w:rsidR="00501C2D" w:rsidRPr="007306DC" w:rsidRDefault="00501C2D" w:rsidP="007306DC">
      <w:pPr>
        <w:pStyle w:val="Default"/>
        <w:jc w:val="both"/>
        <w:rPr>
          <w:color w:val="auto"/>
        </w:rPr>
      </w:pPr>
      <w:r w:rsidRPr="007306DC">
        <w:rPr>
          <w:color w:val="auto"/>
        </w:rPr>
        <w:t>2) specifieke werken: Dit zijn artikelen of monografieën (uitgebreid of minder uitgebreid) die ofwel specifiek de redenen van het verval van de kerk in Noord-Afrika ofwel een specifiek onderdeel van de kerkgeschiedenis van Noord-Afrika behandelen. Als de redenen van het verdwijnen van de kerk in deze werken niet het hoofdonderwerp zijn, dan worden ze desalniettemin altijd sterk belicht. Dat is ook de reden dat we ze bij onze specifieke onderzoeksliteratuur hebben opgenomen. We geven een korte omschrijving:</w:t>
      </w:r>
    </w:p>
    <w:p w:rsidR="00501C2D" w:rsidRPr="007306DC" w:rsidRDefault="00501C2D" w:rsidP="007306DC">
      <w:pPr>
        <w:pStyle w:val="Default"/>
        <w:jc w:val="both"/>
        <w:rPr>
          <w:color w:val="auto"/>
        </w:rPr>
      </w:pPr>
    </w:p>
    <w:p w:rsidR="007306DC" w:rsidRDefault="00501C2D" w:rsidP="007306DC">
      <w:pPr>
        <w:pStyle w:val="Default"/>
        <w:jc w:val="both"/>
        <w:rPr>
          <w:color w:val="auto"/>
        </w:rPr>
      </w:pPr>
      <w:r w:rsidRPr="007306DC">
        <w:rPr>
          <w:b/>
          <w:bCs/>
          <w:color w:val="auto"/>
        </w:rPr>
        <w:t xml:space="preserve">Guys </w:t>
      </w:r>
      <w:r w:rsidRPr="007306DC">
        <w:rPr>
          <w:color w:val="auto"/>
        </w:rPr>
        <w:t>– monografie met als doel aan te tonen dat het verval van Algerije te wijten is aan de vernietiging van het christendom in het land 18</w:t>
      </w:r>
    </w:p>
    <w:p w:rsidR="00501C2D" w:rsidRPr="007306DC" w:rsidRDefault="00501C2D" w:rsidP="007306DC">
      <w:pPr>
        <w:pStyle w:val="Default"/>
        <w:jc w:val="both"/>
        <w:rPr>
          <w:color w:val="auto"/>
        </w:rPr>
      </w:pPr>
      <w:r w:rsidRPr="007306DC">
        <w:rPr>
          <w:b/>
          <w:bCs/>
          <w:color w:val="auto"/>
        </w:rPr>
        <w:t xml:space="preserve">Seston </w:t>
      </w:r>
      <w:r w:rsidRPr="007306DC">
        <w:rPr>
          <w:color w:val="auto"/>
        </w:rPr>
        <w:t>– artikel met eigen interpretaties aangaande nieuwe archeologische (epigrafische) vondsten</w:t>
      </w:r>
    </w:p>
    <w:p w:rsidR="00501C2D" w:rsidRPr="007306DC" w:rsidRDefault="00501C2D" w:rsidP="007306DC">
      <w:pPr>
        <w:pStyle w:val="Default"/>
        <w:jc w:val="both"/>
        <w:rPr>
          <w:color w:val="auto"/>
        </w:rPr>
      </w:pPr>
      <w:r w:rsidRPr="007306DC">
        <w:rPr>
          <w:b/>
          <w:bCs/>
          <w:color w:val="auto"/>
        </w:rPr>
        <w:t xml:space="preserve">Courtois </w:t>
      </w:r>
      <w:r w:rsidRPr="007306DC">
        <w:rPr>
          <w:color w:val="auto"/>
        </w:rPr>
        <w:t>– twee artikels met eigen interpretaties aangaande het bestaan van de laatste christelijke groeperingen onder de islamitische machthebbers, aan de hand van enkele brieven van Paus Gregorius VII</w:t>
      </w:r>
    </w:p>
    <w:p w:rsidR="00501C2D" w:rsidRPr="007306DC" w:rsidRDefault="00501C2D" w:rsidP="007306DC">
      <w:pPr>
        <w:pStyle w:val="Default"/>
        <w:jc w:val="both"/>
        <w:rPr>
          <w:color w:val="auto"/>
        </w:rPr>
      </w:pPr>
      <w:r w:rsidRPr="007306DC">
        <w:rPr>
          <w:b/>
          <w:bCs/>
          <w:color w:val="auto"/>
        </w:rPr>
        <w:t xml:space="preserve">Corbon </w:t>
      </w:r>
      <w:r w:rsidRPr="007306DC">
        <w:rPr>
          <w:color w:val="auto"/>
        </w:rPr>
        <w:t>– artikel met een betrekkelijk uitgebreid overzicht van de kerkgeschiedenis met aan het eind een lange lijst van redenen van het verdwijnen van de kerk</w:t>
      </w:r>
    </w:p>
    <w:p w:rsidR="00501C2D" w:rsidRPr="007306DC" w:rsidRDefault="00501C2D" w:rsidP="007306DC">
      <w:pPr>
        <w:pStyle w:val="Default"/>
        <w:jc w:val="both"/>
        <w:rPr>
          <w:color w:val="auto"/>
        </w:rPr>
      </w:pPr>
      <w:r w:rsidRPr="007306DC">
        <w:rPr>
          <w:b/>
          <w:bCs/>
          <w:color w:val="auto"/>
        </w:rPr>
        <w:t xml:space="preserve">Speel </w:t>
      </w:r>
      <w:r w:rsidRPr="007306DC">
        <w:rPr>
          <w:color w:val="auto"/>
        </w:rPr>
        <w:t>– artikel dat specifiek de hoofdreden bij het Vandaals arianisme legt</w:t>
      </w:r>
    </w:p>
    <w:p w:rsidR="00501C2D" w:rsidRPr="007306DC" w:rsidRDefault="00501C2D" w:rsidP="007306DC">
      <w:pPr>
        <w:pStyle w:val="Default"/>
        <w:jc w:val="both"/>
        <w:rPr>
          <w:color w:val="auto"/>
        </w:rPr>
      </w:pPr>
      <w:r w:rsidRPr="007306DC">
        <w:rPr>
          <w:b/>
          <w:bCs/>
          <w:color w:val="auto"/>
        </w:rPr>
        <w:t xml:space="preserve">Baker </w:t>
      </w:r>
      <w:r w:rsidRPr="007306DC">
        <w:rPr>
          <w:color w:val="auto"/>
        </w:rPr>
        <w:t>– kort en puntig artikel dat een aantal redenen behandelt</w:t>
      </w:r>
    </w:p>
    <w:p w:rsidR="00501C2D" w:rsidRPr="007306DC" w:rsidRDefault="00501C2D" w:rsidP="007306DC">
      <w:pPr>
        <w:pStyle w:val="Default"/>
        <w:jc w:val="both"/>
        <w:rPr>
          <w:color w:val="auto"/>
        </w:rPr>
      </w:pPr>
      <w:r w:rsidRPr="007306DC">
        <w:rPr>
          <w:b/>
          <w:bCs/>
          <w:color w:val="auto"/>
        </w:rPr>
        <w:t xml:space="preserve">Heggoy </w:t>
      </w:r>
      <w:r w:rsidRPr="007306DC">
        <w:rPr>
          <w:i/>
          <w:iCs/>
          <w:color w:val="auto"/>
        </w:rPr>
        <w:t xml:space="preserve">(Missionary Interest) </w:t>
      </w:r>
      <w:r w:rsidRPr="007306DC">
        <w:rPr>
          <w:color w:val="auto"/>
        </w:rPr>
        <w:t>– artikel over Noord-Afrika met een gedeelte over het donatisme waarin het verdwijnen van de kerk hoofdzakelijk bij de donatistische strijd wordt gelegd</w:t>
      </w:r>
    </w:p>
    <w:p w:rsidR="00501C2D" w:rsidRPr="007306DC" w:rsidRDefault="00501C2D" w:rsidP="007306DC">
      <w:pPr>
        <w:pStyle w:val="Default"/>
        <w:jc w:val="both"/>
        <w:rPr>
          <w:color w:val="auto"/>
        </w:rPr>
      </w:pPr>
      <w:r w:rsidRPr="007306DC">
        <w:rPr>
          <w:b/>
          <w:bCs/>
          <w:color w:val="auto"/>
        </w:rPr>
        <w:t xml:space="preserve">Heggoy </w:t>
      </w:r>
      <w:r w:rsidRPr="007306DC">
        <w:rPr>
          <w:color w:val="auto"/>
        </w:rPr>
        <w:t>(Untergang) – een artikel specifiek over het verdwijnen van de kerk met opnieuw de donatistische strijd als hoofdoorzaak</w:t>
      </w:r>
    </w:p>
    <w:p w:rsidR="00501C2D" w:rsidRPr="007306DC" w:rsidRDefault="00501C2D" w:rsidP="007306DC">
      <w:pPr>
        <w:pStyle w:val="Default"/>
        <w:jc w:val="both"/>
        <w:rPr>
          <w:color w:val="auto"/>
        </w:rPr>
      </w:pPr>
      <w:r w:rsidRPr="007306DC">
        <w:rPr>
          <w:b/>
          <w:bCs/>
          <w:color w:val="auto"/>
        </w:rPr>
        <w:t xml:space="preserve">Frend </w:t>
      </w:r>
      <w:r w:rsidRPr="007306DC">
        <w:rPr>
          <w:color w:val="auto"/>
        </w:rPr>
        <w:t>– artikel dat het verdwijnen van de kerk specifiek bij de plunderende nomaden legt</w:t>
      </w:r>
    </w:p>
    <w:p w:rsidR="00501C2D" w:rsidRPr="007306DC" w:rsidRDefault="00501C2D" w:rsidP="007306DC">
      <w:pPr>
        <w:pStyle w:val="Default"/>
        <w:jc w:val="both"/>
        <w:rPr>
          <w:color w:val="auto"/>
        </w:rPr>
      </w:pPr>
      <w:r w:rsidRPr="007306DC">
        <w:rPr>
          <w:b/>
          <w:bCs/>
          <w:color w:val="auto"/>
        </w:rPr>
        <w:t xml:space="preserve">Schoen </w:t>
      </w:r>
      <w:r w:rsidRPr="007306DC">
        <w:rPr>
          <w:color w:val="auto"/>
        </w:rPr>
        <w:t>– artikel waarin een beknopte kerkgeschiedenis wordt gegeven en een aantal redenen wordt besproken</w:t>
      </w:r>
    </w:p>
    <w:p w:rsidR="00501C2D" w:rsidRPr="007306DC" w:rsidRDefault="00501C2D" w:rsidP="007306DC">
      <w:pPr>
        <w:pStyle w:val="Default"/>
        <w:jc w:val="both"/>
        <w:rPr>
          <w:color w:val="auto"/>
        </w:rPr>
      </w:pPr>
      <w:r w:rsidRPr="007306DC">
        <w:rPr>
          <w:b/>
          <w:bCs/>
          <w:color w:val="auto"/>
        </w:rPr>
        <w:t xml:space="preserve">Botha </w:t>
      </w:r>
      <w:r w:rsidRPr="007306DC">
        <w:rPr>
          <w:color w:val="auto"/>
        </w:rPr>
        <w:t>– kort artikel met een beknopte kerkgeschiedenis en een lijst van reeds genoemde redenen, waarbij de hoofdoorzaak bij het gebrek aan inheemswording wordt gelegd</w:t>
      </w:r>
    </w:p>
    <w:p w:rsidR="007306DC" w:rsidRDefault="00501C2D" w:rsidP="007306DC">
      <w:pPr>
        <w:pStyle w:val="Default"/>
        <w:jc w:val="both"/>
        <w:rPr>
          <w:color w:val="auto"/>
        </w:rPr>
      </w:pPr>
      <w:r w:rsidRPr="007306DC">
        <w:rPr>
          <w:b/>
          <w:bCs/>
          <w:color w:val="auto"/>
        </w:rPr>
        <w:t xml:space="preserve">Schenk </w:t>
      </w:r>
      <w:r w:rsidRPr="007306DC">
        <w:rPr>
          <w:color w:val="auto"/>
        </w:rPr>
        <w:t>– artikel dat Noord-Afrika en Nubië enerzijds vergelijkt met Egypte en Ethiopië anderzijds en de hoofdreden van het verdwijnen van de kerk bij het gebrek aan contextualisatie legt. 19</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b/>
          <w:bCs/>
          <w:color w:val="auto"/>
        </w:rPr>
        <w:t>2.3 Inventaris van de redenen</w:t>
      </w:r>
    </w:p>
    <w:p w:rsidR="00501C2D" w:rsidRPr="007306DC" w:rsidRDefault="00501C2D" w:rsidP="007306DC">
      <w:pPr>
        <w:pStyle w:val="Default"/>
        <w:jc w:val="both"/>
        <w:rPr>
          <w:color w:val="auto"/>
        </w:rPr>
      </w:pPr>
      <w:r w:rsidRPr="007306DC">
        <w:rPr>
          <w:color w:val="auto"/>
        </w:rPr>
        <w:t xml:space="preserve">We geven hier een lijst van redenen die we tegengekomen zijn in de onderzoeksliteratuur. Vanuit de overige aanvullende literatuur zijn ons geen redenen bekend die niet in deze lijst opgenomen zijn. We hebben in onze lijst getracht de redenen te groeperen, wat inhoudt dat een bepaalde aangehaalde reden bij meerdere onderzoekers onder verschillende formuleringen kan voorkomen. Dit om een eindeloze lijst met licht afwijkende formuleringen te voorkomen. Ook hebben we in deze opsomming een onderscheid gemaakt tussen de door de onderzoekers aangebrachte </w:t>
      </w:r>
      <w:r w:rsidRPr="007306DC">
        <w:rPr>
          <w:i/>
          <w:iCs/>
          <w:color w:val="auto"/>
        </w:rPr>
        <w:t>hoofd</w:t>
      </w:r>
      <w:r w:rsidRPr="007306DC">
        <w:rPr>
          <w:color w:val="auto"/>
        </w:rPr>
        <w:t xml:space="preserve">redenen (vet gedrukt) en </w:t>
      </w:r>
      <w:r w:rsidRPr="007306DC">
        <w:rPr>
          <w:i/>
          <w:iCs/>
          <w:color w:val="auto"/>
        </w:rPr>
        <w:t xml:space="preserve">aanvullende </w:t>
      </w:r>
      <w:r w:rsidRPr="007306DC">
        <w:rPr>
          <w:color w:val="auto"/>
        </w:rPr>
        <w:t>redenen (zie inleiding). Tevens zijn enkele aanvullende redenen door ons onder een bepaalde hoofdreden ondergebracht, vanwege een zekere verwantschap met die specifieke hoofdreden. Deze verwantschap wordt in de onderzoeksliteratuur steeds duidelijk, doordat de aanvullende reden door de onderzoekers dikwijls in het kader van de hoofdreden besproken wordt. Deze benadering zal in de bespreking van de redenen bij de analyse duidelijk worden. De hoofdredenen worden in 2.4 nog eens expliciet met hun bijbehorende onderzoekers in een schema gezet.</w:t>
      </w:r>
    </w:p>
    <w:p w:rsidR="00501C2D" w:rsidRPr="007306DC" w:rsidRDefault="00501C2D" w:rsidP="007306DC">
      <w:pPr>
        <w:pStyle w:val="Default"/>
        <w:jc w:val="both"/>
        <w:rPr>
          <w:color w:val="auto"/>
        </w:rPr>
      </w:pPr>
      <w:r w:rsidRPr="007306DC">
        <w:rPr>
          <w:color w:val="auto"/>
        </w:rPr>
        <w:t>Onder ‘moslims’ is zowel ‘intolerant’ als ‘tolerant’ opgenomen, omdat beide houdingen een grote rol spelen in de ontwikkeling van de laatste christelijke groeperingen. We hebben ‘tolerant’ echter in de lijst laten ‘uitspringen’, omdat we hier in feite met een ‘negatieve’ reden, en dus een ander soort categorie te maken hebben.</w:t>
      </w:r>
    </w:p>
    <w:p w:rsidR="00501C2D" w:rsidRPr="007306DC" w:rsidRDefault="00501C2D" w:rsidP="007306DC">
      <w:pPr>
        <w:pStyle w:val="Default"/>
        <w:jc w:val="both"/>
        <w:rPr>
          <w:color w:val="auto"/>
        </w:rPr>
      </w:pPr>
      <w:r w:rsidRPr="007306DC">
        <w:rPr>
          <w:b/>
          <w:bCs/>
          <w:color w:val="auto"/>
        </w:rPr>
        <w:t>Donatistische strijd</w:t>
      </w:r>
    </w:p>
    <w:p w:rsidR="00501C2D" w:rsidRPr="007306DC" w:rsidRDefault="00501C2D" w:rsidP="007306DC">
      <w:pPr>
        <w:pStyle w:val="Default"/>
        <w:jc w:val="both"/>
        <w:rPr>
          <w:color w:val="auto"/>
        </w:rPr>
      </w:pPr>
      <w:r w:rsidRPr="007306DC">
        <w:rPr>
          <w:b/>
          <w:bCs/>
          <w:color w:val="auto"/>
        </w:rPr>
        <w:t>Berbers nooit bereikt</w:t>
      </w:r>
    </w:p>
    <w:p w:rsidR="00501C2D" w:rsidRPr="007306DC" w:rsidRDefault="00501C2D" w:rsidP="007306DC">
      <w:pPr>
        <w:pStyle w:val="Default"/>
        <w:jc w:val="both"/>
        <w:rPr>
          <w:color w:val="auto"/>
        </w:rPr>
      </w:pPr>
      <w:r w:rsidRPr="007306DC">
        <w:rPr>
          <w:color w:val="auto"/>
        </w:rPr>
        <w:t>o evangelisatie gelijkgesteld met romanisatie</w:t>
      </w:r>
    </w:p>
    <w:p w:rsidR="00501C2D" w:rsidRPr="007306DC" w:rsidRDefault="00501C2D" w:rsidP="007306DC">
      <w:pPr>
        <w:pStyle w:val="Default"/>
        <w:jc w:val="both"/>
        <w:rPr>
          <w:color w:val="auto"/>
        </w:rPr>
      </w:pPr>
      <w:r w:rsidRPr="007306DC">
        <w:rPr>
          <w:color w:val="auto"/>
        </w:rPr>
        <w:t>o geen eigen Bijbel en liturgie</w:t>
      </w:r>
    </w:p>
    <w:p w:rsidR="00501C2D" w:rsidRPr="007306DC" w:rsidRDefault="00501C2D" w:rsidP="007306DC">
      <w:pPr>
        <w:pStyle w:val="Default"/>
        <w:jc w:val="both"/>
        <w:rPr>
          <w:color w:val="auto"/>
        </w:rPr>
      </w:pPr>
      <w:r w:rsidRPr="007306DC">
        <w:rPr>
          <w:color w:val="auto"/>
        </w:rPr>
        <w:t>o verschillen tussen berbers en Romeinen</w:t>
      </w:r>
    </w:p>
    <w:p w:rsidR="00501C2D" w:rsidRPr="007306DC" w:rsidRDefault="00501C2D" w:rsidP="007306DC">
      <w:pPr>
        <w:pStyle w:val="Default"/>
        <w:jc w:val="both"/>
        <w:rPr>
          <w:color w:val="auto"/>
        </w:rPr>
      </w:pPr>
      <w:r w:rsidRPr="007306DC">
        <w:rPr>
          <w:color w:val="auto"/>
        </w:rPr>
        <w:t>o geen eigen volkskerk</w:t>
      </w:r>
    </w:p>
    <w:p w:rsidR="00501C2D" w:rsidRPr="007306DC" w:rsidRDefault="00501C2D" w:rsidP="007306DC">
      <w:pPr>
        <w:pStyle w:val="Default"/>
        <w:jc w:val="both"/>
        <w:rPr>
          <w:color w:val="auto"/>
        </w:rPr>
      </w:pPr>
    </w:p>
    <w:p w:rsidR="00501C2D" w:rsidRPr="007306DC" w:rsidRDefault="00501C2D" w:rsidP="007306DC">
      <w:pPr>
        <w:pStyle w:val="Default"/>
        <w:jc w:val="both"/>
        <w:rPr>
          <w:color w:val="auto"/>
        </w:rPr>
      </w:pPr>
      <w:r w:rsidRPr="007306DC">
        <w:rPr>
          <w:b/>
          <w:bCs/>
          <w:color w:val="auto"/>
        </w:rPr>
        <w:t>Vandaals arianisme</w:t>
      </w:r>
    </w:p>
    <w:p w:rsidR="00501C2D" w:rsidRPr="007306DC" w:rsidRDefault="00501C2D" w:rsidP="007306DC">
      <w:pPr>
        <w:pStyle w:val="Default"/>
        <w:jc w:val="both"/>
        <w:rPr>
          <w:color w:val="auto"/>
        </w:rPr>
      </w:pPr>
      <w:r w:rsidRPr="007306DC">
        <w:rPr>
          <w:b/>
          <w:bCs/>
          <w:color w:val="auto"/>
        </w:rPr>
        <w:t>Moslims</w:t>
      </w:r>
    </w:p>
    <w:p w:rsidR="00501C2D" w:rsidRPr="007306DC" w:rsidRDefault="00501C2D" w:rsidP="007306DC">
      <w:pPr>
        <w:pStyle w:val="Default"/>
        <w:jc w:val="both"/>
        <w:rPr>
          <w:color w:val="auto"/>
        </w:rPr>
      </w:pPr>
      <w:r w:rsidRPr="007306DC">
        <w:rPr>
          <w:color w:val="auto"/>
        </w:rPr>
        <w:t>o intolerant</w:t>
      </w:r>
    </w:p>
    <w:p w:rsidR="00501C2D" w:rsidRPr="007306DC" w:rsidRDefault="007306DC" w:rsidP="007306DC">
      <w:pPr>
        <w:pStyle w:val="Default"/>
        <w:jc w:val="both"/>
        <w:rPr>
          <w:color w:val="auto"/>
        </w:rPr>
      </w:pPr>
      <w:r w:rsidRPr="007306DC">
        <w:rPr>
          <w:color w:val="auto"/>
        </w:rPr>
        <w:t xml:space="preserve">o </w:t>
      </w:r>
      <w:r w:rsidR="00501C2D" w:rsidRPr="007306DC">
        <w:rPr>
          <w:color w:val="auto"/>
        </w:rPr>
        <w:t>tolerant</w:t>
      </w:r>
    </w:p>
    <w:p w:rsidR="00501C2D" w:rsidRPr="007306DC" w:rsidRDefault="00501C2D" w:rsidP="007306DC">
      <w:pPr>
        <w:pStyle w:val="Default"/>
        <w:jc w:val="both"/>
        <w:rPr>
          <w:color w:val="auto"/>
        </w:rPr>
      </w:pPr>
      <w:r w:rsidRPr="007306DC">
        <w:rPr>
          <w:color w:val="auto"/>
        </w:rPr>
        <w:t>20</w:t>
      </w:r>
    </w:p>
    <w:p w:rsidR="00501C2D" w:rsidRPr="007306DC" w:rsidRDefault="00501C2D" w:rsidP="007306DC">
      <w:pPr>
        <w:pStyle w:val="Default"/>
        <w:jc w:val="both"/>
        <w:rPr>
          <w:color w:val="auto"/>
        </w:rPr>
      </w:pPr>
      <w:r w:rsidRPr="007306DC">
        <w:rPr>
          <w:color w:val="auto"/>
        </w:rPr>
        <w:t>o slavernij</w:t>
      </w:r>
    </w:p>
    <w:p w:rsidR="00501C2D" w:rsidRPr="007306DC" w:rsidRDefault="00501C2D" w:rsidP="007306DC">
      <w:pPr>
        <w:pStyle w:val="Default"/>
        <w:jc w:val="both"/>
        <w:rPr>
          <w:color w:val="auto"/>
        </w:rPr>
      </w:pPr>
      <w:r w:rsidRPr="007306DC">
        <w:rPr>
          <w:color w:val="auto"/>
        </w:rPr>
        <w:t>o positief beeld islam</w:t>
      </w:r>
    </w:p>
    <w:p w:rsidR="00501C2D" w:rsidRPr="007306DC" w:rsidRDefault="00501C2D" w:rsidP="007306DC">
      <w:pPr>
        <w:pStyle w:val="Default"/>
        <w:jc w:val="both"/>
        <w:rPr>
          <w:color w:val="auto"/>
        </w:rPr>
      </w:pPr>
      <w:r w:rsidRPr="007306DC">
        <w:rPr>
          <w:color w:val="auto"/>
        </w:rPr>
        <w:t>o overeenkomsten tussen berbers en moslims</w:t>
      </w:r>
    </w:p>
    <w:p w:rsidR="00501C2D" w:rsidRPr="007306DC" w:rsidRDefault="00501C2D" w:rsidP="007306DC">
      <w:pPr>
        <w:pStyle w:val="Default"/>
        <w:jc w:val="both"/>
        <w:rPr>
          <w:color w:val="auto"/>
        </w:rPr>
      </w:pPr>
    </w:p>
    <w:p w:rsidR="00501C2D" w:rsidRPr="007306DC" w:rsidRDefault="00501C2D" w:rsidP="007306DC">
      <w:pPr>
        <w:pStyle w:val="Default"/>
        <w:jc w:val="both"/>
        <w:rPr>
          <w:color w:val="auto"/>
        </w:rPr>
      </w:pPr>
      <w:r w:rsidRPr="007306DC">
        <w:rPr>
          <w:b/>
          <w:bCs/>
          <w:color w:val="auto"/>
        </w:rPr>
        <w:t>Zwakheid van de kerk</w:t>
      </w:r>
    </w:p>
    <w:p w:rsidR="00501C2D" w:rsidRPr="007306DC" w:rsidRDefault="00501C2D" w:rsidP="007306DC">
      <w:pPr>
        <w:pStyle w:val="Default"/>
        <w:jc w:val="both"/>
        <w:rPr>
          <w:color w:val="auto"/>
        </w:rPr>
      </w:pPr>
      <w:r w:rsidRPr="007306DC">
        <w:rPr>
          <w:color w:val="auto"/>
        </w:rPr>
        <w:t>o twisten</w:t>
      </w:r>
    </w:p>
    <w:p w:rsidR="00501C2D" w:rsidRPr="007306DC" w:rsidRDefault="00501C2D" w:rsidP="007306DC">
      <w:pPr>
        <w:pStyle w:val="Default"/>
        <w:jc w:val="both"/>
        <w:rPr>
          <w:color w:val="auto"/>
        </w:rPr>
      </w:pPr>
      <w:r w:rsidRPr="007306DC">
        <w:rPr>
          <w:color w:val="auto"/>
        </w:rPr>
        <w:t>o apostasie</w:t>
      </w:r>
    </w:p>
    <w:p w:rsidR="00501C2D" w:rsidRPr="007306DC" w:rsidRDefault="00501C2D" w:rsidP="007306DC">
      <w:pPr>
        <w:pStyle w:val="Default"/>
        <w:jc w:val="both"/>
        <w:rPr>
          <w:color w:val="auto"/>
        </w:rPr>
      </w:pPr>
      <w:r w:rsidRPr="007306DC">
        <w:rPr>
          <w:color w:val="auto"/>
        </w:rPr>
        <w:t>o Gods toorn</w:t>
      </w:r>
    </w:p>
    <w:p w:rsidR="00501C2D" w:rsidRPr="007306DC" w:rsidRDefault="00501C2D" w:rsidP="007306DC">
      <w:pPr>
        <w:pStyle w:val="Default"/>
        <w:jc w:val="both"/>
        <w:rPr>
          <w:color w:val="auto"/>
        </w:rPr>
      </w:pPr>
      <w:r w:rsidRPr="007306DC">
        <w:rPr>
          <w:color w:val="auto"/>
        </w:rPr>
        <w:t>o afname clerus / bisdommen</w:t>
      </w:r>
    </w:p>
    <w:p w:rsidR="00501C2D" w:rsidRPr="007306DC" w:rsidRDefault="00501C2D" w:rsidP="007306DC">
      <w:pPr>
        <w:pStyle w:val="Default"/>
        <w:jc w:val="both"/>
        <w:rPr>
          <w:color w:val="auto"/>
        </w:rPr>
      </w:pPr>
      <w:r w:rsidRPr="007306DC">
        <w:rPr>
          <w:color w:val="auto"/>
        </w:rPr>
        <w:t>o remigratie / vlucht christenen</w:t>
      </w:r>
    </w:p>
    <w:p w:rsidR="00501C2D" w:rsidRPr="007306DC" w:rsidRDefault="00501C2D" w:rsidP="007306DC">
      <w:pPr>
        <w:pStyle w:val="Default"/>
        <w:jc w:val="both"/>
        <w:rPr>
          <w:color w:val="auto"/>
        </w:rPr>
      </w:pPr>
      <w:r w:rsidRPr="007306DC">
        <w:rPr>
          <w:color w:val="auto"/>
        </w:rPr>
        <w:t>o verkeerde politieke keuzen</w:t>
      </w:r>
    </w:p>
    <w:p w:rsidR="00501C2D" w:rsidRPr="007306DC" w:rsidRDefault="00501C2D" w:rsidP="007306DC">
      <w:pPr>
        <w:pStyle w:val="Default"/>
        <w:jc w:val="both"/>
        <w:rPr>
          <w:color w:val="auto"/>
        </w:rPr>
      </w:pPr>
      <w:r w:rsidRPr="007306DC">
        <w:rPr>
          <w:color w:val="auto"/>
        </w:rPr>
        <w:t>o geen monastieke traditie (monachisme)</w:t>
      </w:r>
    </w:p>
    <w:p w:rsidR="00501C2D" w:rsidRPr="007306DC" w:rsidRDefault="00501C2D" w:rsidP="007306DC">
      <w:pPr>
        <w:pStyle w:val="Default"/>
        <w:jc w:val="both"/>
        <w:rPr>
          <w:color w:val="auto"/>
        </w:rPr>
      </w:pPr>
      <w:r w:rsidRPr="007306DC">
        <w:rPr>
          <w:color w:val="auto"/>
        </w:rPr>
        <w:t>o geen missionaire drang</w:t>
      </w:r>
    </w:p>
    <w:p w:rsidR="00501C2D" w:rsidRPr="007306DC" w:rsidRDefault="00501C2D" w:rsidP="007306DC">
      <w:pPr>
        <w:pStyle w:val="Default"/>
        <w:jc w:val="both"/>
        <w:rPr>
          <w:color w:val="auto"/>
        </w:rPr>
      </w:pPr>
      <w:r w:rsidRPr="007306DC">
        <w:rPr>
          <w:color w:val="auto"/>
        </w:rPr>
        <w:t>o blijven bestaan heidense religie berbers</w:t>
      </w:r>
    </w:p>
    <w:p w:rsidR="00501C2D" w:rsidRPr="007306DC" w:rsidRDefault="00501C2D" w:rsidP="007306DC">
      <w:pPr>
        <w:pStyle w:val="Default"/>
        <w:jc w:val="both"/>
        <w:rPr>
          <w:color w:val="auto"/>
        </w:rPr>
      </w:pPr>
    </w:p>
    <w:p w:rsidR="00501C2D" w:rsidRPr="007306DC" w:rsidRDefault="00501C2D" w:rsidP="007306DC">
      <w:pPr>
        <w:pStyle w:val="Default"/>
        <w:jc w:val="both"/>
        <w:rPr>
          <w:color w:val="auto"/>
        </w:rPr>
      </w:pPr>
      <w:r w:rsidRPr="007306DC">
        <w:rPr>
          <w:b/>
          <w:bCs/>
          <w:color w:val="auto"/>
        </w:rPr>
        <w:t>Nomaden</w:t>
      </w:r>
    </w:p>
    <w:p w:rsidR="00501C2D" w:rsidRPr="007306DC" w:rsidRDefault="00501C2D" w:rsidP="007306DC">
      <w:pPr>
        <w:pStyle w:val="Default"/>
        <w:jc w:val="both"/>
        <w:rPr>
          <w:color w:val="auto"/>
        </w:rPr>
      </w:pPr>
      <w:r w:rsidRPr="007306DC">
        <w:rPr>
          <w:color w:val="auto"/>
        </w:rPr>
        <w:t>o politieke onrust</w:t>
      </w:r>
    </w:p>
    <w:p w:rsidR="00501C2D" w:rsidRPr="007306DC" w:rsidRDefault="00501C2D" w:rsidP="007306DC">
      <w:pPr>
        <w:pStyle w:val="Default"/>
        <w:jc w:val="both"/>
        <w:rPr>
          <w:color w:val="auto"/>
        </w:rPr>
      </w:pPr>
    </w:p>
    <w:p w:rsidR="00501C2D" w:rsidRPr="007306DC" w:rsidRDefault="00501C2D" w:rsidP="007306DC">
      <w:pPr>
        <w:pStyle w:val="Default"/>
        <w:jc w:val="both"/>
        <w:rPr>
          <w:color w:val="auto"/>
        </w:rPr>
      </w:pPr>
      <w:r w:rsidRPr="007306DC">
        <w:rPr>
          <w:b/>
          <w:bCs/>
          <w:color w:val="auto"/>
        </w:rPr>
        <w:t>Accumulatie van alle redenen</w:t>
      </w:r>
    </w:p>
    <w:p w:rsidR="00501C2D" w:rsidRPr="007306DC" w:rsidRDefault="00501C2D" w:rsidP="007306DC">
      <w:pPr>
        <w:pStyle w:val="Default"/>
        <w:jc w:val="both"/>
        <w:rPr>
          <w:color w:val="auto"/>
        </w:rPr>
      </w:pPr>
      <w:r w:rsidRPr="007306DC">
        <w:rPr>
          <w:color w:val="auto"/>
        </w:rPr>
        <w:t>Hieronder worden de verschillende redenen naar gelang van de aanwezigheid bij de verschillende onderzoekers in een tabel gezet. We willen hierbij enkele opmerkingen maken:</w:t>
      </w:r>
    </w:p>
    <w:p w:rsidR="00501C2D" w:rsidRPr="007306DC" w:rsidRDefault="00501C2D" w:rsidP="007306DC">
      <w:pPr>
        <w:pStyle w:val="Default"/>
        <w:jc w:val="both"/>
        <w:rPr>
          <w:color w:val="auto"/>
        </w:rPr>
      </w:pPr>
      <w:r w:rsidRPr="007306DC">
        <w:rPr>
          <w:color w:val="auto"/>
        </w:rPr>
        <w:t>- Een ‘+’betekent dat de reden door een bepaalde onderzoeker bevestigd wordt.</w:t>
      </w:r>
    </w:p>
    <w:p w:rsidR="00501C2D" w:rsidRPr="007306DC" w:rsidRDefault="00501C2D" w:rsidP="007306DC">
      <w:pPr>
        <w:pStyle w:val="Default"/>
        <w:jc w:val="both"/>
        <w:rPr>
          <w:color w:val="auto"/>
        </w:rPr>
      </w:pPr>
      <w:r w:rsidRPr="007306DC">
        <w:rPr>
          <w:color w:val="auto"/>
        </w:rPr>
        <w:t>- Een ‘–’ betekent dat de reden door een bepaalde onderzoeker ontkracht wordt.</w:t>
      </w:r>
    </w:p>
    <w:p w:rsidR="00501C2D" w:rsidRPr="007306DC" w:rsidRDefault="00501C2D" w:rsidP="007306DC">
      <w:pPr>
        <w:pStyle w:val="Default"/>
        <w:jc w:val="both"/>
        <w:rPr>
          <w:color w:val="auto"/>
        </w:rPr>
      </w:pPr>
      <w:r w:rsidRPr="007306DC">
        <w:rPr>
          <w:color w:val="auto"/>
        </w:rPr>
        <w:t>- Een ‘?’ wil zeggen dat ons niet geheel duidelijk is geworden of een onderzoeker een bepaalde reden gewoonweg noemt, dan wel een bepaalde aangehaalde reden bevestigt of ontkracht.</w:t>
      </w:r>
    </w:p>
    <w:p w:rsidR="00501C2D" w:rsidRPr="007306DC" w:rsidRDefault="00501C2D" w:rsidP="007306DC">
      <w:pPr>
        <w:pStyle w:val="Default"/>
        <w:jc w:val="both"/>
        <w:rPr>
          <w:color w:val="auto"/>
        </w:rPr>
      </w:pPr>
      <w:r w:rsidRPr="007306DC">
        <w:rPr>
          <w:color w:val="auto"/>
        </w:rPr>
        <w:t>- Als een vakje ‘blanco’ gelaten is, wil dit zeggen dat wij de reden bij een bepaalde onderzoeker niet tegengekomen zijn.</w:t>
      </w:r>
    </w:p>
    <w:p w:rsidR="00501C2D" w:rsidRPr="007306DC" w:rsidRDefault="00501C2D" w:rsidP="007306DC">
      <w:pPr>
        <w:pStyle w:val="Default"/>
        <w:jc w:val="both"/>
        <w:rPr>
          <w:color w:val="auto"/>
        </w:rPr>
      </w:pPr>
      <w:r w:rsidRPr="007306DC">
        <w:rPr>
          <w:color w:val="auto"/>
        </w:rPr>
        <w:t>- Dat een bepaalde reden bij meerdere onderzoekers voorkomt, wil niet zeggen dat deze reden door elke onderzoeker even sterk benadrukt wordt. Soms wordt een reden kortweg even aangehaald, en was dit genoeg om in de tabel opgenomen te worden.</w:t>
      </w:r>
    </w:p>
    <w:p w:rsidR="00501C2D" w:rsidRPr="007306DC" w:rsidRDefault="00501C2D" w:rsidP="007306DC">
      <w:pPr>
        <w:pStyle w:val="Default"/>
        <w:jc w:val="both"/>
        <w:rPr>
          <w:color w:val="auto"/>
        </w:rPr>
      </w:pPr>
      <w:r w:rsidRPr="007306DC">
        <w:rPr>
          <w:color w:val="auto"/>
        </w:rPr>
        <w:t>21</w:t>
      </w:r>
    </w:p>
    <w:p w:rsidR="00501C2D" w:rsidRPr="007306DC" w:rsidRDefault="00501C2D" w:rsidP="007306DC">
      <w:pPr>
        <w:pStyle w:val="Default"/>
        <w:jc w:val="both"/>
        <w:rPr>
          <w:color w:val="auto"/>
        </w:rPr>
      </w:pPr>
      <w:r w:rsidRPr="007306DC">
        <w:rPr>
          <w:color w:val="auto"/>
        </w:rPr>
        <w:t>- Een ‘#’ wil zeggen dat deze reden door de onderzoeker als hoofdreden is bestempeld.</w:t>
      </w:r>
    </w:p>
    <w:p w:rsidR="00501C2D" w:rsidRPr="007306DC" w:rsidRDefault="00501C2D" w:rsidP="007306DC">
      <w:pPr>
        <w:pStyle w:val="Default"/>
        <w:jc w:val="both"/>
        <w:rPr>
          <w:color w:val="auto"/>
        </w:rPr>
      </w:pPr>
      <w:r w:rsidRPr="007306DC">
        <w:rPr>
          <w:color w:val="auto"/>
        </w:rPr>
        <w:t>- Bij Botha wordt een lijst van reeds bij anderen genoemde redenen aangehaald, en aangezien het ons niet geheel duidelijk is – maar het er wel alle schijn van heeft – dat hij deze redenen bevestigt, hebben we deze redenen consequent met een ‘+’ gemarkeerd.</w:t>
      </w:r>
    </w:p>
    <w:p w:rsidR="00501C2D" w:rsidRPr="007306DC" w:rsidRDefault="00501C2D" w:rsidP="007306DC">
      <w:pPr>
        <w:pStyle w:val="Default"/>
        <w:jc w:val="both"/>
        <w:rPr>
          <w:color w:val="auto"/>
        </w:rPr>
      </w:pPr>
      <w:r w:rsidRPr="007306DC">
        <w:rPr>
          <w:color w:val="auto"/>
        </w:rPr>
        <w:t>- Zowel een ‘+’ als een ‘–’ betekent dat een bepaalde reden zowel bevestigd als ontkracht wordt, bijvoorbeeld doordat er zowel argumenten vóór als tegen gegeven worden.</w:t>
      </w:r>
    </w:p>
    <w:p w:rsidR="00501C2D" w:rsidRPr="007306DC" w:rsidRDefault="00501C2D" w:rsidP="007306DC">
      <w:pPr>
        <w:pStyle w:val="Default"/>
        <w:jc w:val="both"/>
        <w:rPr>
          <w:color w:val="auto"/>
        </w:rPr>
      </w:pPr>
      <w:r w:rsidRPr="007306DC">
        <w:rPr>
          <w:color w:val="auto"/>
        </w:rPr>
        <w:t>- Omdat de twee artikelen van Heggoy inhoudelijk sterk bij elkaar aansluiten, en het tweede artikel van Courtois het vervolg is op zijn eerste, hebben we deze twee paren telkens in één kolom samengebracht, onder hun respectievelijke onderzoekers.</w:t>
      </w:r>
    </w:p>
    <w:p w:rsidR="00501C2D" w:rsidRPr="007306DC" w:rsidRDefault="00501C2D" w:rsidP="007306DC">
      <w:pPr>
        <w:pStyle w:val="Default"/>
        <w:jc w:val="both"/>
        <w:rPr>
          <w:color w:val="auto"/>
        </w:rPr>
      </w:pPr>
      <w:r w:rsidRPr="007306DC">
        <w:rPr>
          <w:color w:val="auto"/>
        </w:rPr>
        <w:t>- Bij ‘Vandaals arianisme’ wordt meestal niet exclusief het arianisme als godsdienstig hoofdmotief benadrukt zoals bij Speel, maar gaat het veeleer om het verdrijven, bekeren en doden van niet-ariaanse christenen, waarbij de ariaanse achtergrond van de Vandalen geen onbelangrijke rol speelt, maar niet op de voorgrond geplaatst wordt.</w:t>
      </w:r>
    </w:p>
    <w:p w:rsidR="00501C2D" w:rsidRPr="007306DC" w:rsidRDefault="00501C2D" w:rsidP="007306DC">
      <w:pPr>
        <w:pStyle w:val="Default"/>
        <w:jc w:val="both"/>
        <w:rPr>
          <w:color w:val="auto"/>
        </w:rPr>
      </w:pPr>
      <w:r w:rsidRPr="007306DC">
        <w:rPr>
          <w:color w:val="auto"/>
        </w:rPr>
        <w:t>- In het geval van ‘remigratie’ gaat het om ‘buitenlandse’ christenen (geboren in het buitenland ofwel daar de familiale wortels hebbend) die naar hun land van herkomst (terug)gaan; in het geval van ‘vlucht’ gaat het om inheemse christenen die naar het buitenland emigreren.</w:t>
      </w:r>
    </w:p>
    <w:p w:rsidR="00501C2D" w:rsidRPr="007306DC" w:rsidRDefault="00501C2D" w:rsidP="007306DC">
      <w:pPr>
        <w:pStyle w:val="Default"/>
        <w:jc w:val="both"/>
        <w:rPr>
          <w:color w:val="auto"/>
        </w:rPr>
      </w:pPr>
      <w:r w:rsidRPr="007306DC">
        <w:rPr>
          <w:color w:val="auto"/>
        </w:rPr>
        <w:t>- Met gebrek aan ‘missionaire drang’ wordt bedoeld: het gebrek aan zendingsvisie en zendelingen, die nodig waren om het evangelie naar het onbereikte deel van Noord-Afrika te brengen.</w:t>
      </w:r>
    </w:p>
    <w:p w:rsidR="00501C2D" w:rsidRPr="007306DC" w:rsidRDefault="00501C2D" w:rsidP="007306DC">
      <w:pPr>
        <w:pStyle w:val="Default"/>
        <w:jc w:val="both"/>
        <w:rPr>
          <w:color w:val="auto"/>
        </w:rPr>
      </w:pPr>
      <w:r w:rsidRPr="007306DC">
        <w:rPr>
          <w:color w:val="auto"/>
        </w:rPr>
        <w:t>- Zoals reeds gezegd hebben we onder ‘moslims’ zowel ‘intolerant’ als ‘tolerant’ in de tabel opgenomen. Een alternatief zou geweest zijn om onder ‘intolerant’ zowel een ‘+’ als een ‘–’ op te nemen in de gevallen waar een onderzoeker aangeeft dat de moslims zowel intolerant als tolerant jegens christenen waren.</w:t>
      </w:r>
    </w:p>
    <w:p w:rsidR="007306DC" w:rsidRDefault="00501C2D" w:rsidP="007306DC">
      <w:pPr>
        <w:pStyle w:val="Default"/>
        <w:jc w:val="both"/>
        <w:rPr>
          <w:color w:val="auto"/>
        </w:rPr>
      </w:pPr>
      <w:r w:rsidRPr="007306DC">
        <w:rPr>
          <w:color w:val="auto"/>
        </w:rPr>
        <w:t>22</w:t>
      </w:r>
    </w:p>
    <w:p w:rsidR="007306DC" w:rsidRDefault="007306DC" w:rsidP="007306DC">
      <w:pPr>
        <w:pStyle w:val="Default"/>
        <w:jc w:val="both"/>
        <w:rPr>
          <w:color w:val="auto"/>
        </w:rPr>
      </w:pPr>
    </w:p>
    <w:p w:rsidR="00501C2D" w:rsidRPr="007306DC" w:rsidRDefault="00501C2D" w:rsidP="007306DC">
      <w:pPr>
        <w:pStyle w:val="Default"/>
        <w:jc w:val="both"/>
        <w:rPr>
          <w:color w:val="auto"/>
        </w:rPr>
      </w:pPr>
      <w:r w:rsidRPr="007306DC">
        <w:rPr>
          <w:color w:val="auto"/>
        </w:rPr>
        <w:t>+ = wordt bevestigd</w:t>
      </w:r>
    </w:p>
    <w:p w:rsidR="00501C2D" w:rsidRPr="007306DC" w:rsidRDefault="00501C2D" w:rsidP="007306DC">
      <w:pPr>
        <w:pStyle w:val="Default"/>
        <w:jc w:val="both"/>
        <w:rPr>
          <w:color w:val="auto"/>
        </w:rPr>
      </w:pPr>
      <w:r w:rsidRPr="007306DC">
        <w:rPr>
          <w:color w:val="auto"/>
        </w:rPr>
        <w:t>– = wordt ontkend</w:t>
      </w:r>
    </w:p>
    <w:p w:rsidR="00501C2D" w:rsidRPr="007306DC" w:rsidRDefault="00501C2D" w:rsidP="007306DC">
      <w:pPr>
        <w:pStyle w:val="Default"/>
        <w:jc w:val="both"/>
        <w:rPr>
          <w:color w:val="auto"/>
        </w:rPr>
      </w:pPr>
      <w:r w:rsidRPr="007306DC">
        <w:rPr>
          <w:color w:val="auto"/>
        </w:rPr>
        <w:t>? = ons niet geheel duidelijk</w:t>
      </w:r>
    </w:p>
    <w:p w:rsidR="00501C2D" w:rsidRDefault="00501C2D" w:rsidP="007306DC">
      <w:pPr>
        <w:pStyle w:val="Default"/>
        <w:jc w:val="both"/>
        <w:rPr>
          <w:color w:val="auto"/>
        </w:rPr>
      </w:pPr>
      <w:r w:rsidRPr="007306DC">
        <w:rPr>
          <w:color w:val="auto"/>
        </w:rPr>
        <w:t>blanco = niet tegengekomen</w:t>
      </w:r>
    </w:p>
    <w:p w:rsidR="007306DC" w:rsidRDefault="007306DC" w:rsidP="007306DC">
      <w:pPr>
        <w:pStyle w:val="Default"/>
        <w:jc w:val="both"/>
        <w:rPr>
          <w:color w:val="auto"/>
        </w:rPr>
      </w:pPr>
    </w:p>
    <w:p w:rsidR="007306DC" w:rsidRDefault="007306DC" w:rsidP="007306DC">
      <w:pPr>
        <w:pStyle w:val="Default"/>
        <w:jc w:val="both"/>
        <w:rPr>
          <w:color w:val="auto"/>
        </w:rPr>
      </w:pPr>
    </w:p>
    <w:p w:rsidR="007306DC" w:rsidRDefault="007306DC" w:rsidP="007306DC">
      <w:pPr>
        <w:pStyle w:val="Default"/>
        <w:jc w:val="both"/>
        <w:rPr>
          <w:color w:val="auto"/>
        </w:rPr>
      </w:pPr>
    </w:p>
    <w:p w:rsidR="007306DC" w:rsidRDefault="007306DC" w:rsidP="007306DC">
      <w:pPr>
        <w:pStyle w:val="Default"/>
        <w:jc w:val="both"/>
        <w:rPr>
          <w:color w:val="auto"/>
        </w:rPr>
      </w:pPr>
    </w:p>
    <w:p w:rsidR="007306DC" w:rsidRDefault="007306DC" w:rsidP="007306DC">
      <w:pPr>
        <w:pStyle w:val="Default"/>
        <w:jc w:val="both"/>
        <w:rPr>
          <w:color w:val="auto"/>
        </w:rPr>
      </w:pPr>
    </w:p>
    <w:p w:rsidR="007306DC" w:rsidRDefault="007306DC" w:rsidP="007306DC">
      <w:pPr>
        <w:pStyle w:val="Default"/>
        <w:jc w:val="both"/>
        <w:rPr>
          <w:color w:val="auto"/>
        </w:rPr>
      </w:pPr>
    </w:p>
    <w:p w:rsidR="007306DC" w:rsidRDefault="007306DC" w:rsidP="007306DC">
      <w:pPr>
        <w:pStyle w:val="Default"/>
        <w:jc w:val="both"/>
        <w:rPr>
          <w:color w:val="auto"/>
        </w:rPr>
      </w:pPr>
    </w:p>
    <w:p w:rsidR="007306DC" w:rsidRDefault="007306DC" w:rsidP="007306DC">
      <w:pPr>
        <w:pStyle w:val="Default"/>
        <w:jc w:val="both"/>
        <w:rPr>
          <w:color w:val="auto"/>
        </w:rPr>
      </w:pPr>
    </w:p>
    <w:p w:rsidR="007306DC" w:rsidRPr="007306DC" w:rsidRDefault="007306DC" w:rsidP="007306DC">
      <w:pPr>
        <w:pStyle w:val="Default"/>
        <w:jc w:val="both"/>
        <w:rPr>
          <w:color w:val="auto"/>
          <w:sz w:val="20"/>
          <w:szCs w:val="20"/>
        </w:rPr>
      </w:pPr>
    </w:p>
    <w:tbl>
      <w:tblPr>
        <w:tblW w:w="0" w:type="auto"/>
        <w:tblLayout w:type="fixed"/>
        <w:tblLook w:val="0000" w:firstRow="0" w:lastRow="0" w:firstColumn="0" w:lastColumn="0" w:noHBand="0" w:noVBand="0"/>
      </w:tblPr>
      <w:tblGrid>
        <w:gridCol w:w="542"/>
        <w:gridCol w:w="34"/>
        <w:gridCol w:w="38"/>
        <w:gridCol w:w="44"/>
        <w:gridCol w:w="110"/>
        <w:gridCol w:w="70"/>
        <w:gridCol w:w="84"/>
        <w:gridCol w:w="102"/>
        <w:gridCol w:w="60"/>
        <w:gridCol w:w="68"/>
        <w:gridCol w:w="76"/>
        <w:gridCol w:w="89"/>
        <w:gridCol w:w="219"/>
        <w:gridCol w:w="90"/>
        <w:gridCol w:w="50"/>
        <w:gridCol w:w="52"/>
        <w:gridCol w:w="116"/>
        <w:gridCol w:w="131"/>
        <w:gridCol w:w="73"/>
        <w:gridCol w:w="120"/>
        <w:gridCol w:w="136"/>
        <w:gridCol w:w="1"/>
        <w:gridCol w:w="153"/>
        <w:gridCol w:w="56"/>
        <w:gridCol w:w="120"/>
        <w:gridCol w:w="76"/>
        <w:gridCol w:w="56"/>
        <w:gridCol w:w="115"/>
        <w:gridCol w:w="191"/>
        <w:gridCol w:w="2"/>
        <w:gridCol w:w="178"/>
        <w:gridCol w:w="40"/>
        <w:gridCol w:w="60"/>
        <w:gridCol w:w="104"/>
        <w:gridCol w:w="1"/>
        <w:gridCol w:w="231"/>
        <w:gridCol w:w="106"/>
        <w:gridCol w:w="46"/>
        <w:gridCol w:w="2"/>
        <w:gridCol w:w="109"/>
        <w:gridCol w:w="82"/>
        <w:gridCol w:w="63"/>
        <w:gridCol w:w="94"/>
        <w:gridCol w:w="112"/>
        <w:gridCol w:w="34"/>
        <w:gridCol w:w="274"/>
        <w:gridCol w:w="268"/>
        <w:gridCol w:w="38"/>
        <w:gridCol w:w="112"/>
        <w:gridCol w:w="92"/>
        <w:gridCol w:w="66"/>
        <w:gridCol w:w="82"/>
        <w:gridCol w:w="110"/>
        <w:gridCol w:w="42"/>
        <w:gridCol w:w="112"/>
        <w:gridCol w:w="230"/>
        <w:gridCol w:w="104"/>
        <w:gridCol w:w="60"/>
        <w:gridCol w:w="36"/>
        <w:gridCol w:w="184"/>
        <w:gridCol w:w="2"/>
        <w:gridCol w:w="190"/>
        <w:gridCol w:w="116"/>
        <w:gridCol w:w="50"/>
        <w:gridCol w:w="81"/>
        <w:gridCol w:w="119"/>
        <w:gridCol w:w="58"/>
        <w:gridCol w:w="152"/>
        <w:gridCol w:w="2"/>
        <w:gridCol w:w="130"/>
        <w:gridCol w:w="124"/>
        <w:gridCol w:w="73"/>
        <w:gridCol w:w="133"/>
        <w:gridCol w:w="116"/>
        <w:gridCol w:w="50"/>
        <w:gridCol w:w="46"/>
        <w:gridCol w:w="94"/>
        <w:gridCol w:w="2"/>
        <w:gridCol w:w="218"/>
        <w:gridCol w:w="88"/>
        <w:gridCol w:w="76"/>
        <w:gridCol w:w="2"/>
        <w:gridCol w:w="62"/>
        <w:gridCol w:w="64"/>
        <w:gridCol w:w="104"/>
        <w:gridCol w:w="82"/>
        <w:gridCol w:w="70"/>
        <w:gridCol w:w="2"/>
        <w:gridCol w:w="108"/>
        <w:gridCol w:w="44"/>
        <w:gridCol w:w="40"/>
        <w:gridCol w:w="28"/>
        <w:gridCol w:w="546"/>
        <w:gridCol w:w="2"/>
        <w:gridCol w:w="6"/>
        <w:gridCol w:w="6"/>
      </w:tblGrid>
      <w:tr w:rsidR="00501C2D" w:rsidRPr="007306DC">
        <w:tblPrEx>
          <w:tblCellMar>
            <w:top w:w="0" w:type="dxa"/>
            <w:bottom w:w="0" w:type="dxa"/>
          </w:tblCellMar>
        </w:tblPrEx>
        <w:trPr>
          <w:gridAfter w:val="3"/>
          <w:wAfter w:w="6" w:type="dxa"/>
          <w:trHeight w:val="98"/>
        </w:trPr>
        <w:tc>
          <w:tcPr>
            <w:tcW w:w="542" w:type="dxa"/>
          </w:tcPr>
          <w:p w:rsidR="00501C2D" w:rsidRPr="007306DC" w:rsidRDefault="00501C2D" w:rsidP="007306DC">
            <w:pPr>
              <w:pStyle w:val="Default"/>
              <w:jc w:val="both"/>
              <w:rPr>
                <w:sz w:val="20"/>
                <w:szCs w:val="20"/>
              </w:rPr>
            </w:pPr>
            <w:r w:rsidRPr="007306DC">
              <w:rPr>
                <w:color w:val="auto"/>
                <w:sz w:val="20"/>
                <w:szCs w:val="20"/>
              </w:rPr>
              <w:t xml:space="preserve"># = hoofdreden </w:t>
            </w:r>
            <w:r w:rsidRPr="007306DC">
              <w:rPr>
                <w:b/>
                <w:bCs/>
                <w:sz w:val="20"/>
                <w:szCs w:val="20"/>
              </w:rPr>
              <w:t>Redenen</w:t>
            </w:r>
          </w:p>
        </w:tc>
        <w:tc>
          <w:tcPr>
            <w:tcW w:w="542" w:type="dxa"/>
            <w:gridSpan w:val="8"/>
          </w:tcPr>
          <w:p w:rsidR="00501C2D" w:rsidRPr="007306DC" w:rsidRDefault="00501C2D" w:rsidP="007306DC">
            <w:pPr>
              <w:pStyle w:val="Default"/>
              <w:jc w:val="both"/>
              <w:rPr>
                <w:sz w:val="20"/>
                <w:szCs w:val="20"/>
              </w:rPr>
            </w:pPr>
            <w:r w:rsidRPr="007306DC">
              <w:rPr>
                <w:b/>
                <w:bCs/>
                <w:sz w:val="20"/>
                <w:szCs w:val="20"/>
              </w:rPr>
              <w:t>G</w:t>
            </w:r>
          </w:p>
        </w:tc>
        <w:tc>
          <w:tcPr>
            <w:tcW w:w="542" w:type="dxa"/>
            <w:gridSpan w:val="5"/>
          </w:tcPr>
          <w:p w:rsidR="00501C2D" w:rsidRPr="007306DC" w:rsidRDefault="00501C2D" w:rsidP="007306DC">
            <w:pPr>
              <w:pStyle w:val="Default"/>
              <w:jc w:val="both"/>
              <w:rPr>
                <w:sz w:val="20"/>
                <w:szCs w:val="20"/>
              </w:rPr>
            </w:pPr>
            <w:r w:rsidRPr="007306DC">
              <w:rPr>
                <w:b/>
                <w:bCs/>
                <w:sz w:val="20"/>
                <w:szCs w:val="20"/>
              </w:rPr>
              <w:t>Ho</w:t>
            </w:r>
          </w:p>
        </w:tc>
        <w:tc>
          <w:tcPr>
            <w:tcW w:w="542" w:type="dxa"/>
            <w:gridSpan w:val="6"/>
          </w:tcPr>
          <w:p w:rsidR="00501C2D" w:rsidRPr="007306DC" w:rsidRDefault="00501C2D" w:rsidP="007306DC">
            <w:pPr>
              <w:pStyle w:val="Default"/>
              <w:jc w:val="both"/>
              <w:rPr>
                <w:sz w:val="20"/>
                <w:szCs w:val="20"/>
              </w:rPr>
            </w:pPr>
            <w:r w:rsidRPr="007306DC">
              <w:rPr>
                <w:b/>
                <w:bCs/>
                <w:sz w:val="20"/>
                <w:szCs w:val="20"/>
              </w:rPr>
              <w:t>M</w:t>
            </w:r>
          </w:p>
        </w:tc>
        <w:tc>
          <w:tcPr>
            <w:tcW w:w="542" w:type="dxa"/>
            <w:gridSpan w:val="6"/>
          </w:tcPr>
          <w:p w:rsidR="00501C2D" w:rsidRPr="007306DC" w:rsidRDefault="00501C2D" w:rsidP="007306DC">
            <w:pPr>
              <w:pStyle w:val="Default"/>
              <w:jc w:val="both"/>
              <w:rPr>
                <w:sz w:val="20"/>
                <w:szCs w:val="20"/>
              </w:rPr>
            </w:pPr>
            <w:r w:rsidRPr="007306DC">
              <w:rPr>
                <w:b/>
                <w:bCs/>
                <w:sz w:val="20"/>
                <w:szCs w:val="20"/>
              </w:rPr>
              <w:t>I</w:t>
            </w:r>
          </w:p>
        </w:tc>
        <w:tc>
          <w:tcPr>
            <w:tcW w:w="542" w:type="dxa"/>
            <w:gridSpan w:val="5"/>
          </w:tcPr>
          <w:p w:rsidR="00501C2D" w:rsidRPr="007306DC" w:rsidRDefault="00501C2D" w:rsidP="007306DC">
            <w:pPr>
              <w:pStyle w:val="Default"/>
              <w:jc w:val="both"/>
              <w:rPr>
                <w:sz w:val="20"/>
                <w:szCs w:val="20"/>
              </w:rPr>
            </w:pPr>
            <w:r w:rsidRPr="007306DC">
              <w:rPr>
                <w:b/>
                <w:bCs/>
                <w:sz w:val="20"/>
                <w:szCs w:val="20"/>
              </w:rPr>
              <w:t>Se</w:t>
            </w:r>
          </w:p>
        </w:tc>
        <w:tc>
          <w:tcPr>
            <w:tcW w:w="542" w:type="dxa"/>
            <w:gridSpan w:val="6"/>
          </w:tcPr>
          <w:p w:rsidR="00501C2D" w:rsidRPr="007306DC" w:rsidRDefault="00501C2D" w:rsidP="007306DC">
            <w:pPr>
              <w:pStyle w:val="Default"/>
              <w:jc w:val="both"/>
              <w:rPr>
                <w:sz w:val="20"/>
                <w:szCs w:val="20"/>
              </w:rPr>
            </w:pPr>
            <w:r w:rsidRPr="007306DC">
              <w:rPr>
                <w:b/>
                <w:bCs/>
                <w:sz w:val="20"/>
                <w:szCs w:val="20"/>
              </w:rPr>
              <w:t>Cs</w:t>
            </w:r>
          </w:p>
        </w:tc>
        <w:tc>
          <w:tcPr>
            <w:tcW w:w="542" w:type="dxa"/>
            <w:gridSpan w:val="8"/>
          </w:tcPr>
          <w:p w:rsidR="00501C2D" w:rsidRPr="007306DC" w:rsidRDefault="00501C2D" w:rsidP="007306DC">
            <w:pPr>
              <w:pStyle w:val="Default"/>
              <w:jc w:val="both"/>
              <w:rPr>
                <w:sz w:val="20"/>
                <w:szCs w:val="20"/>
              </w:rPr>
            </w:pPr>
            <w:r w:rsidRPr="007306DC">
              <w:rPr>
                <w:b/>
                <w:bCs/>
                <w:sz w:val="20"/>
                <w:szCs w:val="20"/>
              </w:rPr>
              <w:t>Cn</w:t>
            </w:r>
          </w:p>
        </w:tc>
        <w:tc>
          <w:tcPr>
            <w:tcW w:w="542" w:type="dxa"/>
            <w:gridSpan w:val="2"/>
          </w:tcPr>
          <w:p w:rsidR="00501C2D" w:rsidRPr="007306DC" w:rsidRDefault="00501C2D" w:rsidP="007306DC">
            <w:pPr>
              <w:pStyle w:val="Default"/>
              <w:jc w:val="both"/>
              <w:rPr>
                <w:sz w:val="20"/>
                <w:szCs w:val="20"/>
              </w:rPr>
            </w:pPr>
            <w:r w:rsidRPr="007306DC">
              <w:rPr>
                <w:b/>
                <w:bCs/>
                <w:sz w:val="20"/>
                <w:szCs w:val="20"/>
              </w:rPr>
              <w:t>Sp</w:t>
            </w:r>
          </w:p>
        </w:tc>
        <w:tc>
          <w:tcPr>
            <w:tcW w:w="542" w:type="dxa"/>
            <w:gridSpan w:val="7"/>
          </w:tcPr>
          <w:p w:rsidR="00501C2D" w:rsidRPr="007306DC" w:rsidRDefault="00501C2D" w:rsidP="007306DC">
            <w:pPr>
              <w:pStyle w:val="Default"/>
              <w:jc w:val="both"/>
              <w:rPr>
                <w:sz w:val="20"/>
                <w:szCs w:val="20"/>
              </w:rPr>
            </w:pPr>
            <w:r w:rsidRPr="007306DC">
              <w:rPr>
                <w:b/>
                <w:bCs/>
                <w:sz w:val="20"/>
                <w:szCs w:val="20"/>
              </w:rPr>
              <w:t>Ba</w:t>
            </w:r>
          </w:p>
        </w:tc>
        <w:tc>
          <w:tcPr>
            <w:tcW w:w="542" w:type="dxa"/>
            <w:gridSpan w:val="5"/>
          </w:tcPr>
          <w:p w:rsidR="00501C2D" w:rsidRPr="007306DC" w:rsidRDefault="00501C2D" w:rsidP="007306DC">
            <w:pPr>
              <w:pStyle w:val="Default"/>
              <w:jc w:val="both"/>
              <w:rPr>
                <w:sz w:val="20"/>
                <w:szCs w:val="20"/>
              </w:rPr>
            </w:pPr>
            <w:r w:rsidRPr="007306DC">
              <w:rPr>
                <w:b/>
                <w:bCs/>
                <w:sz w:val="20"/>
                <w:szCs w:val="20"/>
              </w:rPr>
              <w:t>D</w:t>
            </w:r>
          </w:p>
        </w:tc>
        <w:tc>
          <w:tcPr>
            <w:tcW w:w="542" w:type="dxa"/>
            <w:gridSpan w:val="5"/>
          </w:tcPr>
          <w:p w:rsidR="00501C2D" w:rsidRPr="007306DC" w:rsidRDefault="00501C2D" w:rsidP="007306DC">
            <w:pPr>
              <w:pStyle w:val="Default"/>
              <w:jc w:val="both"/>
              <w:rPr>
                <w:sz w:val="20"/>
                <w:szCs w:val="20"/>
              </w:rPr>
            </w:pPr>
            <w:r w:rsidRPr="007306DC">
              <w:rPr>
                <w:b/>
                <w:bCs/>
                <w:sz w:val="20"/>
                <w:szCs w:val="20"/>
              </w:rPr>
              <w:t>He</w:t>
            </w:r>
          </w:p>
        </w:tc>
        <w:tc>
          <w:tcPr>
            <w:tcW w:w="542" w:type="dxa"/>
            <w:gridSpan w:val="6"/>
          </w:tcPr>
          <w:p w:rsidR="00501C2D" w:rsidRPr="007306DC" w:rsidRDefault="00501C2D" w:rsidP="007306DC">
            <w:pPr>
              <w:pStyle w:val="Default"/>
              <w:jc w:val="both"/>
              <w:rPr>
                <w:sz w:val="20"/>
                <w:szCs w:val="20"/>
              </w:rPr>
            </w:pPr>
            <w:r w:rsidRPr="007306DC">
              <w:rPr>
                <w:b/>
                <w:bCs/>
                <w:sz w:val="20"/>
                <w:szCs w:val="20"/>
              </w:rPr>
              <w:t>F</w:t>
            </w:r>
          </w:p>
        </w:tc>
        <w:tc>
          <w:tcPr>
            <w:tcW w:w="542" w:type="dxa"/>
            <w:gridSpan w:val="6"/>
          </w:tcPr>
          <w:p w:rsidR="00501C2D" w:rsidRPr="007306DC" w:rsidRDefault="00501C2D" w:rsidP="007306DC">
            <w:pPr>
              <w:pStyle w:val="Default"/>
              <w:jc w:val="both"/>
              <w:rPr>
                <w:sz w:val="20"/>
                <w:szCs w:val="20"/>
              </w:rPr>
            </w:pPr>
            <w:r w:rsidRPr="007306DC">
              <w:rPr>
                <w:b/>
                <w:bCs/>
                <w:sz w:val="20"/>
                <w:szCs w:val="20"/>
              </w:rPr>
              <w:t>Sn</w:t>
            </w:r>
          </w:p>
        </w:tc>
        <w:tc>
          <w:tcPr>
            <w:tcW w:w="542" w:type="dxa"/>
            <w:gridSpan w:val="7"/>
          </w:tcPr>
          <w:p w:rsidR="00501C2D" w:rsidRPr="007306DC" w:rsidRDefault="00501C2D" w:rsidP="007306DC">
            <w:pPr>
              <w:pStyle w:val="Default"/>
              <w:jc w:val="both"/>
              <w:rPr>
                <w:sz w:val="20"/>
                <w:szCs w:val="20"/>
              </w:rPr>
            </w:pPr>
            <w:r w:rsidRPr="007306DC">
              <w:rPr>
                <w:b/>
                <w:bCs/>
                <w:sz w:val="20"/>
                <w:szCs w:val="20"/>
              </w:rPr>
              <w:t>Cu</w:t>
            </w:r>
          </w:p>
        </w:tc>
        <w:tc>
          <w:tcPr>
            <w:tcW w:w="542" w:type="dxa"/>
            <w:gridSpan w:val="9"/>
          </w:tcPr>
          <w:p w:rsidR="00501C2D" w:rsidRPr="007306DC" w:rsidRDefault="00501C2D" w:rsidP="007306DC">
            <w:pPr>
              <w:pStyle w:val="Default"/>
              <w:jc w:val="both"/>
              <w:rPr>
                <w:sz w:val="20"/>
                <w:szCs w:val="20"/>
              </w:rPr>
            </w:pPr>
            <w:r w:rsidRPr="007306DC">
              <w:rPr>
                <w:b/>
                <w:bCs/>
                <w:sz w:val="20"/>
                <w:szCs w:val="20"/>
              </w:rPr>
              <w:t>Bo</w:t>
            </w:r>
          </w:p>
        </w:tc>
        <w:tc>
          <w:tcPr>
            <w:tcW w:w="542" w:type="dxa"/>
          </w:tcPr>
          <w:p w:rsidR="00501C2D" w:rsidRPr="007306DC" w:rsidRDefault="00501C2D" w:rsidP="007306DC">
            <w:pPr>
              <w:pStyle w:val="Default"/>
              <w:jc w:val="both"/>
              <w:rPr>
                <w:sz w:val="20"/>
                <w:szCs w:val="20"/>
              </w:rPr>
            </w:pPr>
            <w:r w:rsidRPr="007306DC">
              <w:rPr>
                <w:b/>
                <w:bCs/>
                <w:sz w:val="20"/>
                <w:szCs w:val="20"/>
              </w:rPr>
              <w:t>Sk</w:t>
            </w:r>
          </w:p>
        </w:tc>
      </w:tr>
      <w:tr w:rsidR="00501C2D" w:rsidRPr="007306DC">
        <w:tblPrEx>
          <w:tblCellMar>
            <w:top w:w="0" w:type="dxa"/>
            <w:bottom w:w="0" w:type="dxa"/>
          </w:tblCellMar>
        </w:tblPrEx>
        <w:trPr>
          <w:gridAfter w:val="3"/>
          <w:wAfter w:w="8" w:type="dxa"/>
          <w:trHeight w:val="109"/>
        </w:trPr>
        <w:tc>
          <w:tcPr>
            <w:tcW w:w="658" w:type="dxa"/>
            <w:gridSpan w:val="4"/>
          </w:tcPr>
          <w:p w:rsidR="00501C2D" w:rsidRPr="007306DC" w:rsidRDefault="00501C2D" w:rsidP="007306DC">
            <w:pPr>
              <w:pStyle w:val="Default"/>
              <w:jc w:val="both"/>
              <w:rPr>
                <w:sz w:val="20"/>
                <w:szCs w:val="20"/>
              </w:rPr>
            </w:pPr>
            <w:r w:rsidRPr="007306DC">
              <w:rPr>
                <w:b/>
                <w:bCs/>
                <w:sz w:val="20"/>
                <w:szCs w:val="20"/>
              </w:rPr>
              <w:t>Donatistische strijd</w:t>
            </w:r>
          </w:p>
        </w:tc>
        <w:tc>
          <w:tcPr>
            <w:tcW w:w="658" w:type="dxa"/>
            <w:gridSpan w:val="8"/>
          </w:tcPr>
          <w:p w:rsidR="00501C2D" w:rsidRPr="007306DC" w:rsidRDefault="00501C2D" w:rsidP="007306DC">
            <w:pPr>
              <w:pStyle w:val="Default"/>
              <w:jc w:val="both"/>
              <w:rPr>
                <w:sz w:val="20"/>
                <w:szCs w:val="20"/>
              </w:rPr>
            </w:pPr>
            <w:r w:rsidRPr="007306DC">
              <w:rPr>
                <w:sz w:val="20"/>
                <w:szCs w:val="20"/>
              </w:rPr>
              <w:t>+</w:t>
            </w:r>
          </w:p>
        </w:tc>
        <w:tc>
          <w:tcPr>
            <w:tcW w:w="658" w:type="dxa"/>
            <w:gridSpan w:val="6"/>
          </w:tcPr>
          <w:p w:rsidR="00501C2D" w:rsidRPr="007306DC" w:rsidRDefault="00501C2D" w:rsidP="007306DC">
            <w:pPr>
              <w:pStyle w:val="Default"/>
              <w:jc w:val="both"/>
              <w:rPr>
                <w:sz w:val="20"/>
                <w:szCs w:val="20"/>
              </w:rPr>
            </w:pPr>
            <w:r w:rsidRPr="007306DC">
              <w:rPr>
                <w:sz w:val="20"/>
                <w:szCs w:val="20"/>
              </w:rPr>
              <w:t>+</w:t>
            </w:r>
          </w:p>
        </w:tc>
        <w:tc>
          <w:tcPr>
            <w:tcW w:w="658" w:type="dxa"/>
            <w:gridSpan w:val="7"/>
          </w:tcPr>
          <w:p w:rsidR="00501C2D" w:rsidRPr="007306DC" w:rsidRDefault="00501C2D" w:rsidP="007306DC">
            <w:pPr>
              <w:pStyle w:val="Default"/>
              <w:jc w:val="both"/>
              <w:rPr>
                <w:sz w:val="20"/>
                <w:szCs w:val="20"/>
              </w:rPr>
            </w:pPr>
            <w:r w:rsidRPr="007306DC">
              <w:rPr>
                <w:sz w:val="20"/>
                <w:szCs w:val="20"/>
              </w:rPr>
              <w:t>+</w:t>
            </w:r>
          </w:p>
        </w:tc>
        <w:tc>
          <w:tcPr>
            <w:tcW w:w="658" w:type="dxa"/>
            <w:gridSpan w:val="7"/>
          </w:tcPr>
          <w:p w:rsidR="00501C2D" w:rsidRPr="007306DC" w:rsidRDefault="00501C2D" w:rsidP="007306DC">
            <w:pPr>
              <w:pStyle w:val="Default"/>
              <w:jc w:val="both"/>
              <w:rPr>
                <w:sz w:val="20"/>
                <w:szCs w:val="20"/>
              </w:rPr>
            </w:pPr>
            <w:r w:rsidRPr="007306DC">
              <w:rPr>
                <w:sz w:val="20"/>
                <w:szCs w:val="20"/>
              </w:rPr>
              <w:t>+</w:t>
            </w:r>
          </w:p>
        </w:tc>
        <w:tc>
          <w:tcPr>
            <w:tcW w:w="658" w:type="dxa"/>
            <w:gridSpan w:val="8"/>
          </w:tcPr>
          <w:p w:rsidR="00501C2D" w:rsidRPr="007306DC" w:rsidRDefault="00501C2D" w:rsidP="007306DC">
            <w:pPr>
              <w:pStyle w:val="Default"/>
              <w:jc w:val="both"/>
              <w:rPr>
                <w:sz w:val="20"/>
                <w:szCs w:val="20"/>
              </w:rPr>
            </w:pPr>
            <w:r w:rsidRPr="007306DC">
              <w:rPr>
                <w:sz w:val="20"/>
                <w:szCs w:val="20"/>
              </w:rPr>
              <w:t>+</w:t>
            </w:r>
          </w:p>
        </w:tc>
        <w:tc>
          <w:tcPr>
            <w:tcW w:w="658" w:type="dxa"/>
            <w:gridSpan w:val="6"/>
          </w:tcPr>
          <w:p w:rsidR="00501C2D" w:rsidRPr="007306DC" w:rsidRDefault="00501C2D" w:rsidP="007306DC">
            <w:pPr>
              <w:pStyle w:val="Default"/>
              <w:jc w:val="both"/>
              <w:rPr>
                <w:sz w:val="20"/>
                <w:szCs w:val="20"/>
              </w:rPr>
            </w:pPr>
            <w:r w:rsidRPr="007306DC">
              <w:rPr>
                <w:sz w:val="20"/>
                <w:szCs w:val="20"/>
              </w:rPr>
              <w:t>+</w:t>
            </w:r>
          </w:p>
        </w:tc>
        <w:tc>
          <w:tcPr>
            <w:tcW w:w="658" w:type="dxa"/>
            <w:gridSpan w:val="6"/>
          </w:tcPr>
          <w:p w:rsidR="00501C2D" w:rsidRPr="007306DC" w:rsidRDefault="00501C2D" w:rsidP="007306DC">
            <w:pPr>
              <w:pStyle w:val="Default"/>
              <w:jc w:val="both"/>
              <w:rPr>
                <w:sz w:val="20"/>
                <w:szCs w:val="20"/>
              </w:rPr>
            </w:pPr>
            <w:r w:rsidRPr="007306DC">
              <w:rPr>
                <w:sz w:val="20"/>
                <w:szCs w:val="20"/>
              </w:rPr>
              <w:t>+</w:t>
            </w:r>
          </w:p>
        </w:tc>
        <w:tc>
          <w:tcPr>
            <w:tcW w:w="658" w:type="dxa"/>
            <w:gridSpan w:val="6"/>
          </w:tcPr>
          <w:p w:rsidR="00501C2D" w:rsidRPr="007306DC" w:rsidRDefault="00501C2D" w:rsidP="007306DC">
            <w:pPr>
              <w:pStyle w:val="Default"/>
              <w:jc w:val="both"/>
              <w:rPr>
                <w:sz w:val="20"/>
                <w:szCs w:val="20"/>
              </w:rPr>
            </w:pPr>
            <w:r w:rsidRPr="007306DC">
              <w:rPr>
                <w:sz w:val="20"/>
                <w:szCs w:val="20"/>
              </w:rPr>
              <w:t>+</w:t>
            </w:r>
          </w:p>
        </w:tc>
        <w:tc>
          <w:tcPr>
            <w:tcW w:w="658" w:type="dxa"/>
            <w:gridSpan w:val="7"/>
          </w:tcPr>
          <w:p w:rsidR="00501C2D" w:rsidRPr="007306DC" w:rsidRDefault="00501C2D" w:rsidP="007306DC">
            <w:pPr>
              <w:pStyle w:val="Default"/>
              <w:jc w:val="both"/>
              <w:rPr>
                <w:sz w:val="20"/>
                <w:szCs w:val="20"/>
              </w:rPr>
            </w:pPr>
            <w:r w:rsidRPr="007306DC">
              <w:rPr>
                <w:sz w:val="20"/>
                <w:szCs w:val="20"/>
              </w:rPr>
              <w:t>#</w:t>
            </w:r>
          </w:p>
        </w:tc>
        <w:tc>
          <w:tcPr>
            <w:tcW w:w="658" w:type="dxa"/>
            <w:gridSpan w:val="7"/>
          </w:tcPr>
          <w:p w:rsidR="00501C2D" w:rsidRPr="007306DC" w:rsidRDefault="00501C2D" w:rsidP="007306DC">
            <w:pPr>
              <w:pStyle w:val="Default"/>
              <w:jc w:val="both"/>
              <w:rPr>
                <w:sz w:val="20"/>
                <w:szCs w:val="20"/>
              </w:rPr>
            </w:pPr>
            <w:r w:rsidRPr="007306DC">
              <w:rPr>
                <w:sz w:val="20"/>
                <w:szCs w:val="20"/>
              </w:rPr>
              <w:t>+</w:t>
            </w:r>
          </w:p>
        </w:tc>
        <w:tc>
          <w:tcPr>
            <w:tcW w:w="658" w:type="dxa"/>
            <w:gridSpan w:val="7"/>
          </w:tcPr>
          <w:p w:rsidR="00501C2D" w:rsidRPr="007306DC" w:rsidRDefault="00501C2D" w:rsidP="007306DC">
            <w:pPr>
              <w:pStyle w:val="Default"/>
              <w:jc w:val="both"/>
              <w:rPr>
                <w:sz w:val="20"/>
                <w:szCs w:val="20"/>
              </w:rPr>
            </w:pPr>
            <w:r w:rsidRPr="007306DC">
              <w:rPr>
                <w:sz w:val="20"/>
                <w:szCs w:val="20"/>
              </w:rPr>
              <w:t>+</w:t>
            </w:r>
          </w:p>
        </w:tc>
        <w:tc>
          <w:tcPr>
            <w:tcW w:w="658" w:type="dxa"/>
            <w:gridSpan w:val="10"/>
          </w:tcPr>
          <w:p w:rsidR="00501C2D" w:rsidRPr="007306DC" w:rsidRDefault="00501C2D" w:rsidP="007306DC">
            <w:pPr>
              <w:pStyle w:val="Default"/>
              <w:jc w:val="both"/>
              <w:rPr>
                <w:sz w:val="20"/>
                <w:szCs w:val="20"/>
              </w:rPr>
            </w:pPr>
            <w:r w:rsidRPr="007306DC">
              <w:rPr>
                <w:sz w:val="20"/>
                <w:szCs w:val="20"/>
              </w:rPr>
              <w:t>+</w:t>
            </w:r>
          </w:p>
        </w:tc>
        <w:tc>
          <w:tcPr>
            <w:tcW w:w="658" w:type="dxa"/>
            <w:gridSpan w:val="4"/>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3"/>
          <w:wAfter w:w="4" w:type="dxa"/>
          <w:trHeight w:val="109"/>
        </w:trPr>
        <w:tc>
          <w:tcPr>
            <w:tcW w:w="768" w:type="dxa"/>
            <w:gridSpan w:val="5"/>
          </w:tcPr>
          <w:p w:rsidR="00501C2D" w:rsidRPr="007306DC" w:rsidRDefault="00501C2D" w:rsidP="007306DC">
            <w:pPr>
              <w:pStyle w:val="Default"/>
              <w:jc w:val="both"/>
              <w:rPr>
                <w:sz w:val="20"/>
                <w:szCs w:val="20"/>
              </w:rPr>
            </w:pPr>
            <w:r w:rsidRPr="007306DC">
              <w:rPr>
                <w:b/>
                <w:bCs/>
                <w:sz w:val="20"/>
                <w:szCs w:val="20"/>
              </w:rPr>
              <w:t>Berbers nooit bereikt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9"/>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7"/>
          </w:tcPr>
          <w:p w:rsidR="00501C2D" w:rsidRPr="007306DC" w:rsidRDefault="00501C2D" w:rsidP="007306DC">
            <w:pPr>
              <w:pStyle w:val="Default"/>
              <w:jc w:val="both"/>
              <w:rPr>
                <w:sz w:val="20"/>
                <w:szCs w:val="20"/>
              </w:rPr>
            </w:pPr>
            <w:r w:rsidRPr="007306DC">
              <w:rPr>
                <w:sz w:val="20"/>
                <w:szCs w:val="20"/>
              </w:rPr>
              <w:t>+</w:t>
            </w:r>
          </w:p>
        </w:tc>
        <w:tc>
          <w:tcPr>
            <w:tcW w:w="768" w:type="dxa"/>
            <w:gridSpan w:val="7"/>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9"/>
          </w:tcPr>
          <w:p w:rsidR="00501C2D" w:rsidRPr="007306DC" w:rsidRDefault="00501C2D" w:rsidP="007306DC">
            <w:pPr>
              <w:pStyle w:val="Default"/>
              <w:jc w:val="both"/>
              <w:rPr>
                <w:sz w:val="20"/>
                <w:szCs w:val="20"/>
              </w:rPr>
            </w:pPr>
            <w:r w:rsidRPr="007306DC">
              <w:rPr>
                <w:sz w:val="20"/>
                <w:szCs w:val="20"/>
              </w:rPr>
              <w:t>+</w:t>
            </w:r>
          </w:p>
        </w:tc>
        <w:tc>
          <w:tcPr>
            <w:tcW w:w="768" w:type="dxa"/>
            <w:gridSpan w:val="10"/>
          </w:tcPr>
          <w:p w:rsidR="00501C2D" w:rsidRPr="007306DC" w:rsidRDefault="00501C2D" w:rsidP="007306DC">
            <w:pPr>
              <w:pStyle w:val="Default"/>
              <w:jc w:val="both"/>
              <w:rPr>
                <w:sz w:val="20"/>
                <w:szCs w:val="20"/>
              </w:rPr>
            </w:pPr>
            <w:r w:rsidRPr="007306DC">
              <w:rPr>
                <w:sz w:val="20"/>
                <w:szCs w:val="20"/>
              </w:rPr>
              <w:t>#</w:t>
            </w:r>
          </w:p>
        </w:tc>
        <w:tc>
          <w:tcPr>
            <w:tcW w:w="768" w:type="dxa"/>
            <w:gridSpan w:val="6"/>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1"/>
          <w:trHeight w:val="109"/>
        </w:trPr>
        <w:tc>
          <w:tcPr>
            <w:tcW w:w="922" w:type="dxa"/>
            <w:gridSpan w:val="7"/>
          </w:tcPr>
          <w:p w:rsidR="00501C2D" w:rsidRPr="007306DC" w:rsidRDefault="00501C2D" w:rsidP="007306DC">
            <w:pPr>
              <w:pStyle w:val="Default"/>
              <w:jc w:val="both"/>
              <w:rPr>
                <w:sz w:val="20"/>
                <w:szCs w:val="20"/>
              </w:rPr>
            </w:pPr>
            <w:r w:rsidRPr="007306DC">
              <w:rPr>
                <w:sz w:val="20"/>
                <w:szCs w:val="20"/>
              </w:rPr>
              <w:t>Evang. = Rom.</w:t>
            </w:r>
          </w:p>
        </w:tc>
        <w:tc>
          <w:tcPr>
            <w:tcW w:w="922" w:type="dxa"/>
            <w:gridSpan w:val="10"/>
          </w:tcPr>
          <w:p w:rsidR="00501C2D" w:rsidRPr="007306DC" w:rsidRDefault="00501C2D" w:rsidP="007306DC">
            <w:pPr>
              <w:pStyle w:val="Default"/>
              <w:jc w:val="both"/>
              <w:rPr>
                <w:sz w:val="20"/>
                <w:szCs w:val="20"/>
              </w:rPr>
            </w:pPr>
            <w:r w:rsidRPr="007306DC">
              <w:rPr>
                <w:sz w:val="20"/>
                <w:szCs w:val="20"/>
              </w:rPr>
              <w:t>#</w:t>
            </w:r>
          </w:p>
        </w:tc>
        <w:tc>
          <w:tcPr>
            <w:tcW w:w="922" w:type="dxa"/>
            <w:gridSpan w:val="10"/>
          </w:tcPr>
          <w:p w:rsidR="00501C2D" w:rsidRPr="007306DC" w:rsidRDefault="00501C2D" w:rsidP="007306DC">
            <w:pPr>
              <w:pStyle w:val="Default"/>
              <w:jc w:val="both"/>
              <w:rPr>
                <w:sz w:val="20"/>
                <w:szCs w:val="20"/>
              </w:rPr>
            </w:pPr>
            <w:r w:rsidRPr="007306DC">
              <w:rPr>
                <w:sz w:val="20"/>
                <w:szCs w:val="20"/>
              </w:rPr>
              <w:t>#</w:t>
            </w:r>
          </w:p>
        </w:tc>
        <w:tc>
          <w:tcPr>
            <w:tcW w:w="922" w:type="dxa"/>
            <w:gridSpan w:val="9"/>
          </w:tcPr>
          <w:p w:rsidR="00501C2D" w:rsidRPr="007306DC" w:rsidRDefault="00501C2D" w:rsidP="007306DC">
            <w:pPr>
              <w:pStyle w:val="Default"/>
              <w:jc w:val="both"/>
              <w:rPr>
                <w:sz w:val="20"/>
                <w:szCs w:val="20"/>
              </w:rPr>
            </w:pPr>
            <w:r w:rsidRPr="007306DC">
              <w:rPr>
                <w:sz w:val="20"/>
                <w:szCs w:val="20"/>
              </w:rPr>
              <w:t>+</w:t>
            </w:r>
          </w:p>
        </w:tc>
        <w:tc>
          <w:tcPr>
            <w:tcW w:w="922" w:type="dxa"/>
            <w:gridSpan w:val="10"/>
          </w:tcPr>
          <w:p w:rsidR="00501C2D" w:rsidRPr="007306DC" w:rsidRDefault="00501C2D" w:rsidP="007306DC">
            <w:pPr>
              <w:pStyle w:val="Default"/>
              <w:jc w:val="both"/>
              <w:rPr>
                <w:sz w:val="20"/>
                <w:szCs w:val="20"/>
              </w:rPr>
            </w:pPr>
            <w:r w:rsidRPr="007306DC">
              <w:rPr>
                <w:sz w:val="20"/>
                <w:szCs w:val="20"/>
              </w:rPr>
              <w:t>+</w:t>
            </w:r>
          </w:p>
        </w:tc>
        <w:tc>
          <w:tcPr>
            <w:tcW w:w="922" w:type="dxa"/>
            <w:gridSpan w:val="9"/>
          </w:tcPr>
          <w:p w:rsidR="00501C2D" w:rsidRPr="007306DC" w:rsidRDefault="00501C2D" w:rsidP="007306DC">
            <w:pPr>
              <w:pStyle w:val="Default"/>
              <w:jc w:val="both"/>
              <w:rPr>
                <w:sz w:val="20"/>
                <w:szCs w:val="20"/>
              </w:rPr>
            </w:pPr>
            <w:r w:rsidRPr="007306DC">
              <w:rPr>
                <w:sz w:val="20"/>
                <w:szCs w:val="20"/>
              </w:rPr>
              <w:t>+</w:t>
            </w:r>
          </w:p>
        </w:tc>
        <w:tc>
          <w:tcPr>
            <w:tcW w:w="922" w:type="dxa"/>
            <w:gridSpan w:val="8"/>
          </w:tcPr>
          <w:p w:rsidR="00501C2D" w:rsidRPr="007306DC" w:rsidRDefault="00501C2D" w:rsidP="007306DC">
            <w:pPr>
              <w:pStyle w:val="Default"/>
              <w:jc w:val="both"/>
              <w:rPr>
                <w:sz w:val="20"/>
                <w:szCs w:val="20"/>
              </w:rPr>
            </w:pPr>
            <w:r w:rsidRPr="007306DC">
              <w:rPr>
                <w:sz w:val="20"/>
                <w:szCs w:val="20"/>
              </w:rPr>
              <w:t>+/–</w:t>
            </w:r>
          </w:p>
        </w:tc>
        <w:tc>
          <w:tcPr>
            <w:tcW w:w="922" w:type="dxa"/>
            <w:gridSpan w:val="10"/>
          </w:tcPr>
          <w:p w:rsidR="00501C2D" w:rsidRPr="007306DC" w:rsidRDefault="00501C2D" w:rsidP="007306DC">
            <w:pPr>
              <w:pStyle w:val="Default"/>
              <w:jc w:val="both"/>
              <w:rPr>
                <w:sz w:val="20"/>
                <w:szCs w:val="20"/>
              </w:rPr>
            </w:pPr>
            <w:r w:rsidRPr="007306DC">
              <w:rPr>
                <w:sz w:val="20"/>
                <w:szCs w:val="20"/>
              </w:rPr>
              <w:t>+</w:t>
            </w:r>
          </w:p>
        </w:tc>
        <w:tc>
          <w:tcPr>
            <w:tcW w:w="922" w:type="dxa"/>
            <w:gridSpan w:val="12"/>
          </w:tcPr>
          <w:p w:rsidR="00501C2D" w:rsidRPr="007306DC" w:rsidRDefault="00501C2D" w:rsidP="007306DC">
            <w:pPr>
              <w:pStyle w:val="Default"/>
              <w:jc w:val="both"/>
              <w:rPr>
                <w:sz w:val="20"/>
                <w:szCs w:val="20"/>
              </w:rPr>
            </w:pPr>
            <w:r w:rsidRPr="007306DC">
              <w:rPr>
                <w:sz w:val="20"/>
                <w:szCs w:val="20"/>
              </w:rPr>
              <w:t>+</w:t>
            </w:r>
          </w:p>
        </w:tc>
        <w:tc>
          <w:tcPr>
            <w:tcW w:w="922" w:type="dxa"/>
            <w:gridSpan w:val="10"/>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3"/>
          <w:wAfter w:w="4" w:type="dxa"/>
          <w:trHeight w:val="109"/>
        </w:trPr>
        <w:tc>
          <w:tcPr>
            <w:tcW w:w="1152" w:type="dxa"/>
            <w:gridSpan w:val="10"/>
          </w:tcPr>
          <w:p w:rsidR="00501C2D" w:rsidRPr="007306DC" w:rsidRDefault="00501C2D" w:rsidP="007306DC">
            <w:pPr>
              <w:pStyle w:val="Default"/>
              <w:jc w:val="both"/>
              <w:rPr>
                <w:sz w:val="20"/>
                <w:szCs w:val="20"/>
              </w:rPr>
            </w:pPr>
            <w:r w:rsidRPr="007306DC">
              <w:rPr>
                <w:sz w:val="20"/>
                <w:szCs w:val="20"/>
              </w:rPr>
              <w:t>Geen bijbel/liturgie</w:t>
            </w:r>
          </w:p>
        </w:tc>
        <w:tc>
          <w:tcPr>
            <w:tcW w:w="1152" w:type="dxa"/>
            <w:gridSpan w:val="11"/>
          </w:tcPr>
          <w:p w:rsidR="00501C2D" w:rsidRPr="007306DC" w:rsidRDefault="00501C2D" w:rsidP="007306DC">
            <w:pPr>
              <w:pStyle w:val="Default"/>
              <w:jc w:val="both"/>
              <w:rPr>
                <w:sz w:val="20"/>
                <w:szCs w:val="20"/>
              </w:rPr>
            </w:pPr>
            <w:r w:rsidRPr="007306DC">
              <w:rPr>
                <w:sz w:val="20"/>
                <w:szCs w:val="20"/>
              </w:rPr>
              <w:t>+</w:t>
            </w:r>
          </w:p>
        </w:tc>
        <w:tc>
          <w:tcPr>
            <w:tcW w:w="1152" w:type="dxa"/>
            <w:gridSpan w:val="13"/>
          </w:tcPr>
          <w:p w:rsidR="00501C2D" w:rsidRPr="007306DC" w:rsidRDefault="00501C2D" w:rsidP="007306DC">
            <w:pPr>
              <w:pStyle w:val="Default"/>
              <w:jc w:val="both"/>
              <w:rPr>
                <w:sz w:val="20"/>
                <w:szCs w:val="20"/>
              </w:rPr>
            </w:pPr>
            <w:r w:rsidRPr="007306DC">
              <w:rPr>
                <w:sz w:val="20"/>
                <w:szCs w:val="20"/>
              </w:rPr>
              <w:t>+</w:t>
            </w:r>
          </w:p>
        </w:tc>
        <w:tc>
          <w:tcPr>
            <w:tcW w:w="1152" w:type="dxa"/>
            <w:gridSpan w:val="12"/>
          </w:tcPr>
          <w:p w:rsidR="00501C2D" w:rsidRPr="007306DC" w:rsidRDefault="00501C2D" w:rsidP="007306DC">
            <w:pPr>
              <w:pStyle w:val="Default"/>
              <w:jc w:val="both"/>
              <w:rPr>
                <w:sz w:val="20"/>
                <w:szCs w:val="20"/>
              </w:rPr>
            </w:pPr>
            <w:r w:rsidRPr="007306DC">
              <w:rPr>
                <w:sz w:val="20"/>
                <w:szCs w:val="20"/>
              </w:rPr>
              <w:t>+</w:t>
            </w:r>
          </w:p>
        </w:tc>
        <w:tc>
          <w:tcPr>
            <w:tcW w:w="1152" w:type="dxa"/>
            <w:gridSpan w:val="10"/>
          </w:tcPr>
          <w:p w:rsidR="00501C2D" w:rsidRPr="007306DC" w:rsidRDefault="00501C2D" w:rsidP="007306DC">
            <w:pPr>
              <w:pStyle w:val="Default"/>
              <w:jc w:val="both"/>
              <w:rPr>
                <w:sz w:val="20"/>
                <w:szCs w:val="20"/>
              </w:rPr>
            </w:pPr>
            <w:r w:rsidRPr="007306DC">
              <w:rPr>
                <w:sz w:val="20"/>
                <w:szCs w:val="20"/>
              </w:rPr>
              <w:t>#</w:t>
            </w:r>
          </w:p>
        </w:tc>
        <w:tc>
          <w:tcPr>
            <w:tcW w:w="1152" w:type="dxa"/>
            <w:gridSpan w:val="12"/>
          </w:tcPr>
          <w:p w:rsidR="00501C2D" w:rsidRPr="007306DC" w:rsidRDefault="00501C2D" w:rsidP="007306DC">
            <w:pPr>
              <w:pStyle w:val="Default"/>
              <w:jc w:val="both"/>
              <w:rPr>
                <w:sz w:val="20"/>
                <w:szCs w:val="20"/>
              </w:rPr>
            </w:pPr>
            <w:r w:rsidRPr="007306DC">
              <w:rPr>
                <w:sz w:val="20"/>
                <w:szCs w:val="20"/>
              </w:rPr>
              <w:t>+</w:t>
            </w:r>
          </w:p>
        </w:tc>
        <w:tc>
          <w:tcPr>
            <w:tcW w:w="1152" w:type="dxa"/>
            <w:gridSpan w:val="13"/>
          </w:tcPr>
          <w:p w:rsidR="00501C2D" w:rsidRPr="007306DC" w:rsidRDefault="00501C2D" w:rsidP="007306DC">
            <w:pPr>
              <w:pStyle w:val="Default"/>
              <w:jc w:val="both"/>
              <w:rPr>
                <w:sz w:val="20"/>
                <w:szCs w:val="20"/>
              </w:rPr>
            </w:pPr>
            <w:r w:rsidRPr="007306DC">
              <w:rPr>
                <w:sz w:val="20"/>
                <w:szCs w:val="20"/>
              </w:rPr>
              <w:t>+</w:t>
            </w:r>
          </w:p>
        </w:tc>
        <w:tc>
          <w:tcPr>
            <w:tcW w:w="1152" w:type="dxa"/>
            <w:gridSpan w:val="12"/>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3"/>
          <w:wAfter w:w="4" w:type="dxa"/>
          <w:trHeight w:val="109"/>
        </w:trPr>
        <w:tc>
          <w:tcPr>
            <w:tcW w:w="1024" w:type="dxa"/>
            <w:gridSpan w:val="8"/>
          </w:tcPr>
          <w:p w:rsidR="00501C2D" w:rsidRPr="007306DC" w:rsidRDefault="00501C2D" w:rsidP="007306DC">
            <w:pPr>
              <w:pStyle w:val="Default"/>
              <w:jc w:val="both"/>
              <w:rPr>
                <w:sz w:val="20"/>
                <w:szCs w:val="20"/>
              </w:rPr>
            </w:pPr>
            <w:r w:rsidRPr="007306DC">
              <w:rPr>
                <w:sz w:val="20"/>
                <w:szCs w:val="20"/>
              </w:rPr>
              <w:t>Versch. berbers-R.</w:t>
            </w:r>
          </w:p>
        </w:tc>
        <w:tc>
          <w:tcPr>
            <w:tcW w:w="1024" w:type="dxa"/>
            <w:gridSpan w:val="11"/>
          </w:tcPr>
          <w:p w:rsidR="00501C2D" w:rsidRPr="007306DC" w:rsidRDefault="00501C2D" w:rsidP="007306DC">
            <w:pPr>
              <w:pStyle w:val="Default"/>
              <w:jc w:val="both"/>
              <w:rPr>
                <w:sz w:val="20"/>
                <w:szCs w:val="20"/>
              </w:rPr>
            </w:pPr>
            <w:r w:rsidRPr="007306DC">
              <w:rPr>
                <w:sz w:val="20"/>
                <w:szCs w:val="20"/>
              </w:rPr>
              <w:t>+</w:t>
            </w:r>
          </w:p>
        </w:tc>
        <w:tc>
          <w:tcPr>
            <w:tcW w:w="1024" w:type="dxa"/>
            <w:gridSpan w:val="10"/>
          </w:tcPr>
          <w:p w:rsidR="00501C2D" w:rsidRPr="007306DC" w:rsidRDefault="00501C2D" w:rsidP="007306DC">
            <w:pPr>
              <w:pStyle w:val="Default"/>
              <w:jc w:val="both"/>
              <w:rPr>
                <w:sz w:val="20"/>
                <w:szCs w:val="20"/>
              </w:rPr>
            </w:pPr>
            <w:r w:rsidRPr="007306DC">
              <w:rPr>
                <w:sz w:val="20"/>
                <w:szCs w:val="20"/>
              </w:rPr>
              <w:t>#</w:t>
            </w:r>
          </w:p>
        </w:tc>
        <w:tc>
          <w:tcPr>
            <w:tcW w:w="1024" w:type="dxa"/>
            <w:gridSpan w:val="13"/>
          </w:tcPr>
          <w:p w:rsidR="00501C2D" w:rsidRPr="007306DC" w:rsidRDefault="00501C2D" w:rsidP="007306DC">
            <w:pPr>
              <w:pStyle w:val="Default"/>
              <w:jc w:val="both"/>
              <w:rPr>
                <w:sz w:val="20"/>
                <w:szCs w:val="20"/>
              </w:rPr>
            </w:pPr>
            <w:r w:rsidRPr="007306DC">
              <w:rPr>
                <w:sz w:val="20"/>
                <w:szCs w:val="20"/>
              </w:rPr>
              <w:t>+</w:t>
            </w:r>
          </w:p>
        </w:tc>
        <w:tc>
          <w:tcPr>
            <w:tcW w:w="1024" w:type="dxa"/>
            <w:gridSpan w:val="8"/>
          </w:tcPr>
          <w:p w:rsidR="00501C2D" w:rsidRPr="007306DC" w:rsidRDefault="00501C2D" w:rsidP="007306DC">
            <w:pPr>
              <w:pStyle w:val="Default"/>
              <w:jc w:val="both"/>
              <w:rPr>
                <w:sz w:val="20"/>
                <w:szCs w:val="20"/>
              </w:rPr>
            </w:pPr>
            <w:r w:rsidRPr="007306DC">
              <w:rPr>
                <w:sz w:val="20"/>
                <w:szCs w:val="20"/>
              </w:rPr>
              <w:t>+</w:t>
            </w:r>
          </w:p>
        </w:tc>
        <w:tc>
          <w:tcPr>
            <w:tcW w:w="1024" w:type="dxa"/>
            <w:gridSpan w:val="10"/>
          </w:tcPr>
          <w:p w:rsidR="00501C2D" w:rsidRPr="007306DC" w:rsidRDefault="00501C2D" w:rsidP="007306DC">
            <w:pPr>
              <w:pStyle w:val="Default"/>
              <w:jc w:val="both"/>
              <w:rPr>
                <w:sz w:val="20"/>
                <w:szCs w:val="20"/>
              </w:rPr>
            </w:pPr>
            <w:r w:rsidRPr="007306DC">
              <w:rPr>
                <w:sz w:val="20"/>
                <w:szCs w:val="20"/>
              </w:rPr>
              <w:t>+</w:t>
            </w:r>
          </w:p>
        </w:tc>
        <w:tc>
          <w:tcPr>
            <w:tcW w:w="1024" w:type="dxa"/>
            <w:gridSpan w:val="11"/>
          </w:tcPr>
          <w:p w:rsidR="00501C2D" w:rsidRPr="007306DC" w:rsidRDefault="00501C2D" w:rsidP="007306DC">
            <w:pPr>
              <w:pStyle w:val="Default"/>
              <w:jc w:val="both"/>
              <w:rPr>
                <w:sz w:val="20"/>
                <w:szCs w:val="20"/>
              </w:rPr>
            </w:pPr>
            <w:r w:rsidRPr="007306DC">
              <w:rPr>
                <w:sz w:val="20"/>
                <w:szCs w:val="20"/>
              </w:rPr>
              <w:t>+</w:t>
            </w:r>
          </w:p>
        </w:tc>
        <w:tc>
          <w:tcPr>
            <w:tcW w:w="1024" w:type="dxa"/>
            <w:gridSpan w:val="13"/>
          </w:tcPr>
          <w:p w:rsidR="00501C2D" w:rsidRPr="007306DC" w:rsidRDefault="00501C2D" w:rsidP="007306DC">
            <w:pPr>
              <w:pStyle w:val="Default"/>
              <w:jc w:val="both"/>
              <w:rPr>
                <w:sz w:val="20"/>
                <w:szCs w:val="20"/>
              </w:rPr>
            </w:pPr>
            <w:r w:rsidRPr="007306DC">
              <w:rPr>
                <w:sz w:val="20"/>
                <w:szCs w:val="20"/>
              </w:rPr>
              <w:t>+</w:t>
            </w:r>
          </w:p>
        </w:tc>
        <w:tc>
          <w:tcPr>
            <w:tcW w:w="1024" w:type="dxa"/>
            <w:gridSpan w:val="9"/>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1"/>
          <w:trHeight w:val="109"/>
        </w:trPr>
        <w:tc>
          <w:tcPr>
            <w:tcW w:w="1317" w:type="dxa"/>
            <w:gridSpan w:val="12"/>
          </w:tcPr>
          <w:p w:rsidR="00501C2D" w:rsidRPr="007306DC" w:rsidRDefault="00501C2D" w:rsidP="007306DC">
            <w:pPr>
              <w:pStyle w:val="Default"/>
              <w:jc w:val="both"/>
              <w:rPr>
                <w:sz w:val="20"/>
                <w:szCs w:val="20"/>
              </w:rPr>
            </w:pPr>
            <w:r w:rsidRPr="007306DC">
              <w:rPr>
                <w:sz w:val="20"/>
                <w:szCs w:val="20"/>
              </w:rPr>
              <w:t>Geen volkskerk</w:t>
            </w:r>
          </w:p>
        </w:tc>
        <w:tc>
          <w:tcPr>
            <w:tcW w:w="1317" w:type="dxa"/>
            <w:gridSpan w:val="13"/>
          </w:tcPr>
          <w:p w:rsidR="00501C2D" w:rsidRPr="007306DC" w:rsidRDefault="00501C2D" w:rsidP="007306DC">
            <w:pPr>
              <w:pStyle w:val="Default"/>
              <w:jc w:val="both"/>
              <w:rPr>
                <w:sz w:val="20"/>
                <w:szCs w:val="20"/>
              </w:rPr>
            </w:pPr>
            <w:r w:rsidRPr="007306DC">
              <w:rPr>
                <w:sz w:val="20"/>
                <w:szCs w:val="20"/>
              </w:rPr>
              <w:t>+</w:t>
            </w:r>
          </w:p>
        </w:tc>
        <w:tc>
          <w:tcPr>
            <w:tcW w:w="1317" w:type="dxa"/>
            <w:gridSpan w:val="15"/>
          </w:tcPr>
          <w:p w:rsidR="00501C2D" w:rsidRPr="007306DC" w:rsidRDefault="00501C2D" w:rsidP="007306DC">
            <w:pPr>
              <w:pStyle w:val="Default"/>
              <w:jc w:val="both"/>
              <w:rPr>
                <w:sz w:val="20"/>
                <w:szCs w:val="20"/>
              </w:rPr>
            </w:pPr>
            <w:r w:rsidRPr="007306DC">
              <w:rPr>
                <w:sz w:val="20"/>
                <w:szCs w:val="20"/>
              </w:rPr>
              <w:t>+</w:t>
            </w:r>
          </w:p>
        </w:tc>
        <w:tc>
          <w:tcPr>
            <w:tcW w:w="1317" w:type="dxa"/>
            <w:gridSpan w:val="12"/>
          </w:tcPr>
          <w:p w:rsidR="00501C2D" w:rsidRPr="007306DC" w:rsidRDefault="00501C2D" w:rsidP="007306DC">
            <w:pPr>
              <w:pStyle w:val="Default"/>
              <w:jc w:val="both"/>
              <w:rPr>
                <w:sz w:val="20"/>
                <w:szCs w:val="20"/>
              </w:rPr>
            </w:pPr>
            <w:r w:rsidRPr="007306DC">
              <w:rPr>
                <w:sz w:val="20"/>
                <w:szCs w:val="20"/>
              </w:rPr>
              <w:t>+</w:t>
            </w:r>
          </w:p>
        </w:tc>
        <w:tc>
          <w:tcPr>
            <w:tcW w:w="1317" w:type="dxa"/>
            <w:gridSpan w:val="13"/>
          </w:tcPr>
          <w:p w:rsidR="00501C2D" w:rsidRPr="007306DC" w:rsidRDefault="00501C2D" w:rsidP="007306DC">
            <w:pPr>
              <w:pStyle w:val="Default"/>
              <w:jc w:val="both"/>
              <w:rPr>
                <w:sz w:val="20"/>
                <w:szCs w:val="20"/>
              </w:rPr>
            </w:pPr>
            <w:r w:rsidRPr="007306DC">
              <w:rPr>
                <w:sz w:val="20"/>
                <w:szCs w:val="20"/>
              </w:rPr>
              <w:t>+</w:t>
            </w:r>
          </w:p>
        </w:tc>
        <w:tc>
          <w:tcPr>
            <w:tcW w:w="1317" w:type="dxa"/>
            <w:gridSpan w:val="14"/>
          </w:tcPr>
          <w:p w:rsidR="00501C2D" w:rsidRPr="007306DC" w:rsidRDefault="00501C2D" w:rsidP="007306DC">
            <w:pPr>
              <w:pStyle w:val="Default"/>
              <w:jc w:val="both"/>
              <w:rPr>
                <w:sz w:val="20"/>
                <w:szCs w:val="20"/>
              </w:rPr>
            </w:pPr>
            <w:r w:rsidRPr="007306DC">
              <w:rPr>
                <w:sz w:val="20"/>
                <w:szCs w:val="20"/>
              </w:rPr>
              <w:t>+</w:t>
            </w:r>
          </w:p>
        </w:tc>
        <w:tc>
          <w:tcPr>
            <w:tcW w:w="1317" w:type="dxa"/>
            <w:gridSpan w:val="16"/>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3"/>
          <w:wAfter w:w="4" w:type="dxa"/>
          <w:trHeight w:val="109"/>
        </w:trPr>
        <w:tc>
          <w:tcPr>
            <w:tcW w:w="768" w:type="dxa"/>
            <w:gridSpan w:val="5"/>
          </w:tcPr>
          <w:p w:rsidR="00501C2D" w:rsidRPr="007306DC" w:rsidRDefault="00501C2D" w:rsidP="007306DC">
            <w:pPr>
              <w:pStyle w:val="Default"/>
              <w:jc w:val="both"/>
              <w:rPr>
                <w:sz w:val="20"/>
                <w:szCs w:val="20"/>
              </w:rPr>
            </w:pPr>
            <w:r w:rsidRPr="007306DC">
              <w:rPr>
                <w:b/>
                <w:bCs/>
                <w:sz w:val="20"/>
                <w:szCs w:val="20"/>
              </w:rPr>
              <w:t>Vandaals arianisme</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9"/>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7"/>
          </w:tcPr>
          <w:p w:rsidR="00501C2D" w:rsidRPr="007306DC" w:rsidRDefault="00501C2D" w:rsidP="007306DC">
            <w:pPr>
              <w:pStyle w:val="Default"/>
              <w:jc w:val="both"/>
              <w:rPr>
                <w:sz w:val="20"/>
                <w:szCs w:val="20"/>
              </w:rPr>
            </w:pPr>
            <w:r w:rsidRPr="007306DC">
              <w:rPr>
                <w:sz w:val="20"/>
                <w:szCs w:val="20"/>
              </w:rPr>
              <w:t>#</w:t>
            </w:r>
          </w:p>
        </w:tc>
        <w:tc>
          <w:tcPr>
            <w:tcW w:w="768" w:type="dxa"/>
            <w:gridSpan w:val="7"/>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9"/>
          </w:tcPr>
          <w:p w:rsidR="00501C2D" w:rsidRPr="007306DC" w:rsidRDefault="00501C2D" w:rsidP="007306DC">
            <w:pPr>
              <w:pStyle w:val="Default"/>
              <w:jc w:val="both"/>
              <w:rPr>
                <w:sz w:val="20"/>
                <w:szCs w:val="20"/>
              </w:rPr>
            </w:pPr>
            <w:r w:rsidRPr="007306DC">
              <w:rPr>
                <w:sz w:val="20"/>
                <w:szCs w:val="20"/>
              </w:rPr>
              <w:t>+</w:t>
            </w:r>
          </w:p>
        </w:tc>
        <w:tc>
          <w:tcPr>
            <w:tcW w:w="768" w:type="dxa"/>
            <w:gridSpan w:val="10"/>
          </w:tcPr>
          <w:p w:rsidR="00501C2D" w:rsidRPr="007306DC" w:rsidRDefault="00501C2D" w:rsidP="007306DC">
            <w:pPr>
              <w:pStyle w:val="Default"/>
              <w:jc w:val="both"/>
              <w:rPr>
                <w:sz w:val="20"/>
                <w:szCs w:val="20"/>
              </w:rPr>
            </w:pPr>
            <w:r w:rsidRPr="007306DC">
              <w:rPr>
                <w:sz w:val="20"/>
                <w:szCs w:val="20"/>
              </w:rPr>
              <w:t>+</w:t>
            </w:r>
          </w:p>
        </w:tc>
        <w:tc>
          <w:tcPr>
            <w:tcW w:w="768" w:type="dxa"/>
            <w:gridSpan w:val="6"/>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2"/>
          <w:wAfter w:w="6" w:type="dxa"/>
          <w:trHeight w:val="109"/>
        </w:trPr>
        <w:tc>
          <w:tcPr>
            <w:tcW w:w="576" w:type="dxa"/>
            <w:gridSpan w:val="2"/>
          </w:tcPr>
          <w:p w:rsidR="00501C2D" w:rsidRPr="007306DC" w:rsidRDefault="00501C2D" w:rsidP="007306DC">
            <w:pPr>
              <w:pStyle w:val="Default"/>
              <w:jc w:val="both"/>
              <w:rPr>
                <w:sz w:val="20"/>
                <w:szCs w:val="20"/>
              </w:rPr>
            </w:pPr>
            <w:r w:rsidRPr="007306DC">
              <w:rPr>
                <w:b/>
                <w:bCs/>
                <w:sz w:val="20"/>
                <w:szCs w:val="20"/>
              </w:rPr>
              <w:t>Moslims</w:t>
            </w:r>
          </w:p>
        </w:tc>
        <w:tc>
          <w:tcPr>
            <w:tcW w:w="576" w:type="dxa"/>
            <w:gridSpan w:val="8"/>
          </w:tcPr>
          <w:p w:rsidR="00501C2D" w:rsidRPr="007306DC" w:rsidRDefault="00501C2D" w:rsidP="007306DC">
            <w:pPr>
              <w:pStyle w:val="Default"/>
              <w:jc w:val="both"/>
              <w:rPr>
                <w:sz w:val="20"/>
                <w:szCs w:val="20"/>
              </w:rPr>
            </w:pPr>
            <w:r w:rsidRPr="007306DC">
              <w:rPr>
                <w:sz w:val="20"/>
                <w:szCs w:val="20"/>
              </w:rPr>
              <w:t>#</w:t>
            </w:r>
          </w:p>
        </w:tc>
        <w:tc>
          <w:tcPr>
            <w:tcW w:w="576" w:type="dxa"/>
            <w:gridSpan w:val="6"/>
          </w:tcPr>
          <w:p w:rsidR="00501C2D" w:rsidRPr="007306DC" w:rsidRDefault="00501C2D" w:rsidP="007306DC">
            <w:pPr>
              <w:pStyle w:val="Default"/>
              <w:jc w:val="both"/>
              <w:rPr>
                <w:sz w:val="20"/>
                <w:szCs w:val="20"/>
              </w:rPr>
            </w:pPr>
            <w:r w:rsidRPr="007306DC">
              <w:rPr>
                <w:sz w:val="20"/>
                <w:szCs w:val="20"/>
              </w:rPr>
              <w:t>+</w:t>
            </w:r>
          </w:p>
        </w:tc>
        <w:tc>
          <w:tcPr>
            <w:tcW w:w="576" w:type="dxa"/>
            <w:gridSpan w:val="6"/>
          </w:tcPr>
          <w:p w:rsidR="00501C2D" w:rsidRPr="007306DC" w:rsidRDefault="00501C2D" w:rsidP="007306DC">
            <w:pPr>
              <w:pStyle w:val="Default"/>
              <w:jc w:val="both"/>
              <w:rPr>
                <w:sz w:val="20"/>
                <w:szCs w:val="20"/>
              </w:rPr>
            </w:pPr>
            <w:r w:rsidRPr="007306DC">
              <w:rPr>
                <w:sz w:val="20"/>
                <w:szCs w:val="20"/>
              </w:rPr>
              <w:t>+</w:t>
            </w:r>
          </w:p>
        </w:tc>
        <w:tc>
          <w:tcPr>
            <w:tcW w:w="576" w:type="dxa"/>
            <w:gridSpan w:val="6"/>
          </w:tcPr>
          <w:p w:rsidR="00501C2D" w:rsidRPr="007306DC" w:rsidRDefault="00501C2D" w:rsidP="007306DC">
            <w:pPr>
              <w:pStyle w:val="Default"/>
              <w:jc w:val="both"/>
              <w:rPr>
                <w:sz w:val="20"/>
                <w:szCs w:val="20"/>
              </w:rPr>
            </w:pPr>
            <w:r w:rsidRPr="007306DC">
              <w:rPr>
                <w:sz w:val="20"/>
                <w:szCs w:val="20"/>
              </w:rPr>
              <w:t>+</w:t>
            </w:r>
          </w:p>
        </w:tc>
        <w:tc>
          <w:tcPr>
            <w:tcW w:w="576" w:type="dxa"/>
            <w:gridSpan w:val="7"/>
          </w:tcPr>
          <w:p w:rsidR="00501C2D" w:rsidRPr="007306DC" w:rsidRDefault="00501C2D" w:rsidP="007306DC">
            <w:pPr>
              <w:pStyle w:val="Default"/>
              <w:jc w:val="both"/>
              <w:rPr>
                <w:sz w:val="20"/>
                <w:szCs w:val="20"/>
              </w:rPr>
            </w:pPr>
            <w:r w:rsidRPr="007306DC">
              <w:rPr>
                <w:sz w:val="20"/>
                <w:szCs w:val="20"/>
              </w:rPr>
              <w:t>+</w:t>
            </w:r>
          </w:p>
        </w:tc>
        <w:tc>
          <w:tcPr>
            <w:tcW w:w="576" w:type="dxa"/>
            <w:gridSpan w:val="6"/>
          </w:tcPr>
          <w:p w:rsidR="00501C2D" w:rsidRPr="007306DC" w:rsidRDefault="00501C2D" w:rsidP="007306DC">
            <w:pPr>
              <w:pStyle w:val="Default"/>
              <w:jc w:val="both"/>
              <w:rPr>
                <w:sz w:val="20"/>
                <w:szCs w:val="20"/>
              </w:rPr>
            </w:pPr>
            <w:r w:rsidRPr="007306DC">
              <w:rPr>
                <w:sz w:val="20"/>
                <w:szCs w:val="20"/>
              </w:rPr>
              <w:t>+</w:t>
            </w:r>
          </w:p>
        </w:tc>
        <w:tc>
          <w:tcPr>
            <w:tcW w:w="576" w:type="dxa"/>
            <w:gridSpan w:val="5"/>
          </w:tcPr>
          <w:p w:rsidR="00501C2D" w:rsidRPr="007306DC" w:rsidRDefault="00501C2D" w:rsidP="007306DC">
            <w:pPr>
              <w:pStyle w:val="Default"/>
              <w:jc w:val="both"/>
              <w:rPr>
                <w:sz w:val="20"/>
                <w:szCs w:val="20"/>
              </w:rPr>
            </w:pPr>
            <w:r w:rsidRPr="007306DC">
              <w:rPr>
                <w:sz w:val="20"/>
                <w:szCs w:val="20"/>
              </w:rPr>
              <w:t>+</w:t>
            </w:r>
          </w:p>
        </w:tc>
        <w:tc>
          <w:tcPr>
            <w:tcW w:w="576" w:type="dxa"/>
            <w:gridSpan w:val="5"/>
          </w:tcPr>
          <w:p w:rsidR="00501C2D" w:rsidRPr="007306DC" w:rsidRDefault="00501C2D" w:rsidP="007306DC">
            <w:pPr>
              <w:pStyle w:val="Default"/>
              <w:jc w:val="both"/>
              <w:rPr>
                <w:sz w:val="20"/>
                <w:szCs w:val="20"/>
              </w:rPr>
            </w:pPr>
            <w:r w:rsidRPr="007306DC">
              <w:rPr>
                <w:sz w:val="20"/>
                <w:szCs w:val="20"/>
              </w:rPr>
              <w:t>+</w:t>
            </w:r>
          </w:p>
        </w:tc>
        <w:tc>
          <w:tcPr>
            <w:tcW w:w="576" w:type="dxa"/>
            <w:gridSpan w:val="5"/>
          </w:tcPr>
          <w:p w:rsidR="00501C2D" w:rsidRPr="007306DC" w:rsidRDefault="00501C2D" w:rsidP="007306DC">
            <w:pPr>
              <w:pStyle w:val="Default"/>
              <w:jc w:val="both"/>
              <w:rPr>
                <w:sz w:val="20"/>
                <w:szCs w:val="20"/>
              </w:rPr>
            </w:pPr>
            <w:r w:rsidRPr="007306DC">
              <w:rPr>
                <w:sz w:val="20"/>
                <w:szCs w:val="20"/>
              </w:rPr>
              <w:t>–</w:t>
            </w:r>
          </w:p>
        </w:tc>
        <w:tc>
          <w:tcPr>
            <w:tcW w:w="576" w:type="dxa"/>
            <w:gridSpan w:val="6"/>
          </w:tcPr>
          <w:p w:rsidR="00501C2D" w:rsidRPr="007306DC" w:rsidRDefault="00501C2D" w:rsidP="007306DC">
            <w:pPr>
              <w:pStyle w:val="Default"/>
              <w:jc w:val="both"/>
              <w:rPr>
                <w:sz w:val="20"/>
                <w:szCs w:val="20"/>
              </w:rPr>
            </w:pPr>
            <w:r w:rsidRPr="007306DC">
              <w:rPr>
                <w:sz w:val="20"/>
                <w:szCs w:val="20"/>
              </w:rPr>
              <w:t>+</w:t>
            </w:r>
          </w:p>
        </w:tc>
        <w:tc>
          <w:tcPr>
            <w:tcW w:w="576" w:type="dxa"/>
            <w:gridSpan w:val="7"/>
          </w:tcPr>
          <w:p w:rsidR="00501C2D" w:rsidRPr="007306DC" w:rsidRDefault="00501C2D" w:rsidP="007306DC">
            <w:pPr>
              <w:pStyle w:val="Default"/>
              <w:jc w:val="both"/>
              <w:rPr>
                <w:sz w:val="20"/>
                <w:szCs w:val="20"/>
              </w:rPr>
            </w:pPr>
            <w:r w:rsidRPr="007306DC">
              <w:rPr>
                <w:sz w:val="20"/>
                <w:szCs w:val="20"/>
              </w:rPr>
              <w:t>+</w:t>
            </w:r>
          </w:p>
        </w:tc>
        <w:tc>
          <w:tcPr>
            <w:tcW w:w="576" w:type="dxa"/>
            <w:gridSpan w:val="5"/>
          </w:tcPr>
          <w:p w:rsidR="00501C2D" w:rsidRPr="007306DC" w:rsidRDefault="00501C2D" w:rsidP="007306DC">
            <w:pPr>
              <w:pStyle w:val="Default"/>
              <w:jc w:val="both"/>
              <w:rPr>
                <w:sz w:val="20"/>
                <w:szCs w:val="20"/>
              </w:rPr>
            </w:pPr>
            <w:r w:rsidRPr="007306DC">
              <w:rPr>
                <w:sz w:val="20"/>
                <w:szCs w:val="20"/>
              </w:rPr>
              <w:t>+</w:t>
            </w:r>
          </w:p>
        </w:tc>
        <w:tc>
          <w:tcPr>
            <w:tcW w:w="576" w:type="dxa"/>
            <w:gridSpan w:val="8"/>
          </w:tcPr>
          <w:p w:rsidR="00501C2D" w:rsidRPr="007306DC" w:rsidRDefault="00501C2D" w:rsidP="007306DC">
            <w:pPr>
              <w:pStyle w:val="Default"/>
              <w:jc w:val="both"/>
              <w:rPr>
                <w:sz w:val="20"/>
                <w:szCs w:val="20"/>
              </w:rPr>
            </w:pPr>
            <w:r w:rsidRPr="007306DC">
              <w:rPr>
                <w:sz w:val="20"/>
                <w:szCs w:val="20"/>
              </w:rPr>
              <w:t>+</w:t>
            </w:r>
          </w:p>
        </w:tc>
        <w:tc>
          <w:tcPr>
            <w:tcW w:w="576" w:type="dxa"/>
            <w:gridSpan w:val="9"/>
          </w:tcPr>
          <w:p w:rsidR="00501C2D" w:rsidRPr="007306DC" w:rsidRDefault="00501C2D" w:rsidP="007306DC">
            <w:pPr>
              <w:pStyle w:val="Default"/>
              <w:jc w:val="both"/>
              <w:rPr>
                <w:sz w:val="20"/>
                <w:szCs w:val="20"/>
              </w:rPr>
            </w:pPr>
            <w:r w:rsidRPr="007306DC">
              <w:rPr>
                <w:sz w:val="20"/>
                <w:szCs w:val="20"/>
              </w:rPr>
              <w:t>+</w:t>
            </w:r>
          </w:p>
        </w:tc>
        <w:tc>
          <w:tcPr>
            <w:tcW w:w="576" w:type="dxa"/>
            <w:gridSpan w:val="3"/>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2"/>
          <w:wAfter w:w="12" w:type="dxa"/>
          <w:trHeight w:val="109"/>
        </w:trPr>
        <w:tc>
          <w:tcPr>
            <w:tcW w:w="614" w:type="dxa"/>
            <w:gridSpan w:val="3"/>
          </w:tcPr>
          <w:p w:rsidR="00501C2D" w:rsidRPr="007306DC" w:rsidRDefault="00501C2D" w:rsidP="007306DC">
            <w:pPr>
              <w:pStyle w:val="Default"/>
              <w:jc w:val="both"/>
              <w:rPr>
                <w:sz w:val="20"/>
                <w:szCs w:val="20"/>
              </w:rPr>
            </w:pPr>
            <w:r w:rsidRPr="007306DC">
              <w:rPr>
                <w:sz w:val="20"/>
                <w:szCs w:val="20"/>
              </w:rPr>
              <w:t>Intolerant</w:t>
            </w:r>
          </w:p>
        </w:tc>
        <w:tc>
          <w:tcPr>
            <w:tcW w:w="614" w:type="dxa"/>
            <w:gridSpan w:val="8"/>
          </w:tcPr>
          <w:p w:rsidR="00501C2D" w:rsidRPr="007306DC" w:rsidRDefault="00501C2D" w:rsidP="007306DC">
            <w:pPr>
              <w:pStyle w:val="Default"/>
              <w:jc w:val="both"/>
              <w:rPr>
                <w:sz w:val="20"/>
                <w:szCs w:val="20"/>
              </w:rPr>
            </w:pPr>
            <w:r w:rsidRPr="007306DC">
              <w:rPr>
                <w:sz w:val="20"/>
                <w:szCs w:val="20"/>
              </w:rPr>
              <w:t>+</w:t>
            </w:r>
          </w:p>
        </w:tc>
        <w:tc>
          <w:tcPr>
            <w:tcW w:w="614" w:type="dxa"/>
            <w:gridSpan w:val="6"/>
          </w:tcPr>
          <w:p w:rsidR="00501C2D" w:rsidRPr="007306DC" w:rsidRDefault="00501C2D" w:rsidP="007306DC">
            <w:pPr>
              <w:pStyle w:val="Default"/>
              <w:jc w:val="both"/>
              <w:rPr>
                <w:sz w:val="20"/>
                <w:szCs w:val="20"/>
              </w:rPr>
            </w:pPr>
            <w:r w:rsidRPr="007306DC">
              <w:rPr>
                <w:sz w:val="20"/>
                <w:szCs w:val="20"/>
              </w:rPr>
              <w:t>+</w:t>
            </w:r>
          </w:p>
        </w:tc>
        <w:tc>
          <w:tcPr>
            <w:tcW w:w="614" w:type="dxa"/>
            <w:gridSpan w:val="6"/>
          </w:tcPr>
          <w:p w:rsidR="00501C2D" w:rsidRPr="007306DC" w:rsidRDefault="00501C2D" w:rsidP="007306DC">
            <w:pPr>
              <w:pStyle w:val="Default"/>
              <w:jc w:val="both"/>
              <w:rPr>
                <w:sz w:val="20"/>
                <w:szCs w:val="20"/>
              </w:rPr>
            </w:pPr>
            <w:r w:rsidRPr="007306DC">
              <w:rPr>
                <w:sz w:val="20"/>
                <w:szCs w:val="20"/>
              </w:rPr>
              <w:t>+</w:t>
            </w:r>
          </w:p>
        </w:tc>
        <w:tc>
          <w:tcPr>
            <w:tcW w:w="614" w:type="dxa"/>
            <w:gridSpan w:val="7"/>
          </w:tcPr>
          <w:p w:rsidR="00501C2D" w:rsidRPr="007306DC" w:rsidRDefault="00501C2D" w:rsidP="007306DC">
            <w:pPr>
              <w:pStyle w:val="Default"/>
              <w:jc w:val="both"/>
              <w:rPr>
                <w:sz w:val="20"/>
                <w:szCs w:val="20"/>
              </w:rPr>
            </w:pPr>
            <w:r w:rsidRPr="007306DC">
              <w:rPr>
                <w:sz w:val="20"/>
                <w:szCs w:val="20"/>
              </w:rPr>
              <w:t>+</w:t>
            </w:r>
          </w:p>
        </w:tc>
        <w:tc>
          <w:tcPr>
            <w:tcW w:w="614" w:type="dxa"/>
            <w:gridSpan w:val="6"/>
          </w:tcPr>
          <w:p w:rsidR="00501C2D" w:rsidRPr="007306DC" w:rsidRDefault="00501C2D" w:rsidP="007306DC">
            <w:pPr>
              <w:pStyle w:val="Default"/>
              <w:jc w:val="both"/>
              <w:rPr>
                <w:sz w:val="20"/>
                <w:szCs w:val="20"/>
              </w:rPr>
            </w:pPr>
            <w:r w:rsidRPr="007306DC">
              <w:rPr>
                <w:sz w:val="20"/>
                <w:szCs w:val="20"/>
              </w:rPr>
              <w:t>+</w:t>
            </w:r>
          </w:p>
        </w:tc>
        <w:tc>
          <w:tcPr>
            <w:tcW w:w="614" w:type="dxa"/>
            <w:gridSpan w:val="8"/>
          </w:tcPr>
          <w:p w:rsidR="00501C2D" w:rsidRPr="007306DC" w:rsidRDefault="00501C2D" w:rsidP="007306DC">
            <w:pPr>
              <w:pStyle w:val="Default"/>
              <w:jc w:val="both"/>
              <w:rPr>
                <w:sz w:val="20"/>
                <w:szCs w:val="20"/>
              </w:rPr>
            </w:pPr>
            <w:r w:rsidRPr="007306DC">
              <w:rPr>
                <w:sz w:val="20"/>
                <w:szCs w:val="20"/>
              </w:rPr>
              <w:t>+</w:t>
            </w:r>
          </w:p>
        </w:tc>
        <w:tc>
          <w:tcPr>
            <w:tcW w:w="614" w:type="dxa"/>
            <w:gridSpan w:val="4"/>
          </w:tcPr>
          <w:p w:rsidR="00501C2D" w:rsidRPr="007306DC" w:rsidRDefault="00501C2D" w:rsidP="007306DC">
            <w:pPr>
              <w:pStyle w:val="Default"/>
              <w:jc w:val="both"/>
              <w:rPr>
                <w:sz w:val="20"/>
                <w:szCs w:val="20"/>
              </w:rPr>
            </w:pPr>
            <w:r w:rsidRPr="007306DC">
              <w:rPr>
                <w:sz w:val="20"/>
                <w:szCs w:val="20"/>
              </w:rPr>
              <w:t>+</w:t>
            </w:r>
          </w:p>
        </w:tc>
        <w:tc>
          <w:tcPr>
            <w:tcW w:w="614" w:type="dxa"/>
            <w:gridSpan w:val="7"/>
          </w:tcPr>
          <w:p w:rsidR="00501C2D" w:rsidRPr="007306DC" w:rsidRDefault="00501C2D" w:rsidP="007306DC">
            <w:pPr>
              <w:pStyle w:val="Default"/>
              <w:jc w:val="both"/>
              <w:rPr>
                <w:sz w:val="20"/>
                <w:szCs w:val="20"/>
              </w:rPr>
            </w:pPr>
            <w:r w:rsidRPr="007306DC">
              <w:rPr>
                <w:sz w:val="20"/>
                <w:szCs w:val="20"/>
              </w:rPr>
              <w:t>+</w:t>
            </w:r>
          </w:p>
        </w:tc>
        <w:tc>
          <w:tcPr>
            <w:tcW w:w="614" w:type="dxa"/>
            <w:gridSpan w:val="6"/>
          </w:tcPr>
          <w:p w:rsidR="00501C2D" w:rsidRPr="007306DC" w:rsidRDefault="00501C2D" w:rsidP="007306DC">
            <w:pPr>
              <w:pStyle w:val="Default"/>
              <w:jc w:val="both"/>
              <w:rPr>
                <w:sz w:val="20"/>
                <w:szCs w:val="20"/>
              </w:rPr>
            </w:pPr>
            <w:r w:rsidRPr="007306DC">
              <w:rPr>
                <w:sz w:val="20"/>
                <w:szCs w:val="20"/>
              </w:rPr>
              <w:t>+</w:t>
            </w:r>
          </w:p>
        </w:tc>
        <w:tc>
          <w:tcPr>
            <w:tcW w:w="614" w:type="dxa"/>
            <w:gridSpan w:val="6"/>
          </w:tcPr>
          <w:p w:rsidR="00501C2D" w:rsidRPr="007306DC" w:rsidRDefault="00501C2D" w:rsidP="007306DC">
            <w:pPr>
              <w:pStyle w:val="Default"/>
              <w:jc w:val="both"/>
              <w:rPr>
                <w:sz w:val="20"/>
                <w:szCs w:val="20"/>
              </w:rPr>
            </w:pPr>
            <w:r w:rsidRPr="007306DC">
              <w:rPr>
                <w:sz w:val="20"/>
                <w:szCs w:val="20"/>
              </w:rPr>
              <w:t>+</w:t>
            </w:r>
          </w:p>
        </w:tc>
        <w:tc>
          <w:tcPr>
            <w:tcW w:w="614" w:type="dxa"/>
            <w:gridSpan w:val="6"/>
          </w:tcPr>
          <w:p w:rsidR="00501C2D" w:rsidRPr="007306DC" w:rsidRDefault="00501C2D" w:rsidP="007306DC">
            <w:pPr>
              <w:pStyle w:val="Default"/>
              <w:jc w:val="both"/>
              <w:rPr>
                <w:sz w:val="20"/>
                <w:szCs w:val="20"/>
              </w:rPr>
            </w:pPr>
            <w:r w:rsidRPr="007306DC">
              <w:rPr>
                <w:sz w:val="20"/>
                <w:szCs w:val="20"/>
              </w:rPr>
              <w:t>+</w:t>
            </w:r>
          </w:p>
        </w:tc>
        <w:tc>
          <w:tcPr>
            <w:tcW w:w="614" w:type="dxa"/>
            <w:gridSpan w:val="7"/>
          </w:tcPr>
          <w:p w:rsidR="00501C2D" w:rsidRPr="007306DC" w:rsidRDefault="00501C2D" w:rsidP="007306DC">
            <w:pPr>
              <w:pStyle w:val="Default"/>
              <w:jc w:val="both"/>
              <w:rPr>
                <w:sz w:val="20"/>
                <w:szCs w:val="20"/>
              </w:rPr>
            </w:pPr>
            <w:r w:rsidRPr="007306DC">
              <w:rPr>
                <w:sz w:val="20"/>
                <w:szCs w:val="20"/>
              </w:rPr>
              <w:t>+</w:t>
            </w:r>
          </w:p>
        </w:tc>
        <w:tc>
          <w:tcPr>
            <w:tcW w:w="614" w:type="dxa"/>
            <w:gridSpan w:val="10"/>
          </w:tcPr>
          <w:p w:rsidR="00501C2D" w:rsidRPr="007306DC" w:rsidRDefault="00501C2D" w:rsidP="007306DC">
            <w:pPr>
              <w:pStyle w:val="Default"/>
              <w:jc w:val="both"/>
              <w:rPr>
                <w:sz w:val="20"/>
                <w:szCs w:val="20"/>
              </w:rPr>
            </w:pPr>
            <w:r w:rsidRPr="007306DC">
              <w:rPr>
                <w:sz w:val="20"/>
                <w:szCs w:val="20"/>
              </w:rPr>
              <w:t>+</w:t>
            </w:r>
          </w:p>
        </w:tc>
        <w:tc>
          <w:tcPr>
            <w:tcW w:w="614" w:type="dxa"/>
            <w:gridSpan w:val="4"/>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2"/>
          <w:wAfter w:w="6" w:type="dxa"/>
          <w:trHeight w:val="109"/>
        </w:trPr>
        <w:tc>
          <w:tcPr>
            <w:tcW w:w="768" w:type="dxa"/>
            <w:gridSpan w:val="5"/>
          </w:tcPr>
          <w:p w:rsidR="00501C2D" w:rsidRPr="007306DC" w:rsidRDefault="00501C2D" w:rsidP="007306DC">
            <w:pPr>
              <w:pStyle w:val="Default"/>
              <w:jc w:val="both"/>
              <w:rPr>
                <w:sz w:val="20"/>
                <w:szCs w:val="20"/>
              </w:rPr>
            </w:pPr>
            <w:r w:rsidRPr="007306DC">
              <w:rPr>
                <w:sz w:val="20"/>
                <w:szCs w:val="20"/>
              </w:rPr>
              <w:t>Tolerant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9"/>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9"/>
          </w:tcPr>
          <w:p w:rsidR="00501C2D" w:rsidRPr="007306DC" w:rsidRDefault="00501C2D" w:rsidP="007306DC">
            <w:pPr>
              <w:pStyle w:val="Default"/>
              <w:jc w:val="both"/>
              <w:rPr>
                <w:sz w:val="20"/>
                <w:szCs w:val="20"/>
              </w:rPr>
            </w:pPr>
            <w:r w:rsidRPr="007306DC">
              <w:rPr>
                <w:sz w:val="20"/>
                <w:szCs w:val="20"/>
              </w:rPr>
              <w:t>+</w:t>
            </w:r>
          </w:p>
        </w:tc>
        <w:tc>
          <w:tcPr>
            <w:tcW w:w="768" w:type="dxa"/>
            <w:gridSpan w:val="7"/>
          </w:tcPr>
          <w:p w:rsidR="00501C2D" w:rsidRPr="007306DC" w:rsidRDefault="00501C2D" w:rsidP="007306DC">
            <w:pPr>
              <w:pStyle w:val="Default"/>
              <w:jc w:val="both"/>
              <w:rPr>
                <w:sz w:val="20"/>
                <w:szCs w:val="20"/>
              </w:rPr>
            </w:pPr>
            <w:r w:rsidRPr="007306DC">
              <w:rPr>
                <w:sz w:val="20"/>
                <w:szCs w:val="20"/>
              </w:rPr>
              <w:t>+</w:t>
            </w:r>
          </w:p>
        </w:tc>
        <w:tc>
          <w:tcPr>
            <w:tcW w:w="768" w:type="dxa"/>
            <w:gridSpan w:val="7"/>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9"/>
          </w:tcPr>
          <w:p w:rsidR="00501C2D" w:rsidRPr="007306DC" w:rsidRDefault="00501C2D" w:rsidP="007306DC">
            <w:pPr>
              <w:pStyle w:val="Default"/>
              <w:jc w:val="both"/>
              <w:rPr>
                <w:sz w:val="20"/>
                <w:szCs w:val="20"/>
              </w:rPr>
            </w:pPr>
            <w:r w:rsidRPr="007306DC">
              <w:rPr>
                <w:sz w:val="20"/>
                <w:szCs w:val="20"/>
              </w:rPr>
              <w:t>+</w:t>
            </w:r>
          </w:p>
        </w:tc>
        <w:tc>
          <w:tcPr>
            <w:tcW w:w="768" w:type="dxa"/>
            <w:gridSpan w:val="10"/>
          </w:tcPr>
          <w:p w:rsidR="00501C2D" w:rsidRPr="007306DC" w:rsidRDefault="00501C2D" w:rsidP="007306DC">
            <w:pPr>
              <w:pStyle w:val="Default"/>
              <w:jc w:val="both"/>
              <w:rPr>
                <w:sz w:val="20"/>
                <w:szCs w:val="20"/>
              </w:rPr>
            </w:pPr>
            <w:r w:rsidRPr="007306DC">
              <w:rPr>
                <w:sz w:val="20"/>
                <w:szCs w:val="20"/>
              </w:rPr>
              <w:t>+</w:t>
            </w:r>
          </w:p>
        </w:tc>
        <w:tc>
          <w:tcPr>
            <w:tcW w:w="768" w:type="dxa"/>
            <w:gridSpan w:val="6"/>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trHeight w:val="109"/>
        </w:trPr>
        <w:tc>
          <w:tcPr>
            <w:tcW w:w="3074" w:type="dxa"/>
            <w:gridSpan w:val="30"/>
          </w:tcPr>
          <w:p w:rsidR="00501C2D" w:rsidRPr="007306DC" w:rsidRDefault="00501C2D" w:rsidP="007306DC">
            <w:pPr>
              <w:pStyle w:val="Default"/>
              <w:jc w:val="both"/>
              <w:rPr>
                <w:sz w:val="20"/>
                <w:szCs w:val="20"/>
              </w:rPr>
            </w:pPr>
            <w:r w:rsidRPr="007306DC">
              <w:rPr>
                <w:sz w:val="20"/>
                <w:szCs w:val="20"/>
              </w:rPr>
              <w:t>Slavernij</w:t>
            </w:r>
          </w:p>
        </w:tc>
        <w:tc>
          <w:tcPr>
            <w:tcW w:w="3074" w:type="dxa"/>
            <w:gridSpan w:val="31"/>
          </w:tcPr>
          <w:p w:rsidR="00501C2D" w:rsidRPr="007306DC" w:rsidRDefault="00501C2D" w:rsidP="007306DC">
            <w:pPr>
              <w:pStyle w:val="Default"/>
              <w:jc w:val="both"/>
              <w:rPr>
                <w:sz w:val="20"/>
                <w:szCs w:val="20"/>
              </w:rPr>
            </w:pPr>
            <w:r w:rsidRPr="007306DC">
              <w:rPr>
                <w:sz w:val="20"/>
                <w:szCs w:val="20"/>
              </w:rPr>
              <w:t>+</w:t>
            </w:r>
          </w:p>
        </w:tc>
        <w:tc>
          <w:tcPr>
            <w:tcW w:w="3074" w:type="dxa"/>
            <w:gridSpan w:val="35"/>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trHeight w:val="109"/>
        </w:trPr>
        <w:tc>
          <w:tcPr>
            <w:tcW w:w="1844" w:type="dxa"/>
            <w:gridSpan w:val="17"/>
          </w:tcPr>
          <w:p w:rsidR="00501C2D" w:rsidRPr="007306DC" w:rsidRDefault="00501C2D" w:rsidP="007306DC">
            <w:pPr>
              <w:pStyle w:val="Default"/>
              <w:jc w:val="both"/>
              <w:rPr>
                <w:sz w:val="20"/>
                <w:szCs w:val="20"/>
              </w:rPr>
            </w:pPr>
            <w:r w:rsidRPr="007306DC">
              <w:rPr>
                <w:sz w:val="20"/>
                <w:szCs w:val="20"/>
              </w:rPr>
              <w:t>Positief beeld islam</w:t>
            </w:r>
          </w:p>
        </w:tc>
        <w:tc>
          <w:tcPr>
            <w:tcW w:w="1844" w:type="dxa"/>
            <w:gridSpan w:val="19"/>
          </w:tcPr>
          <w:p w:rsidR="00501C2D" w:rsidRPr="007306DC" w:rsidRDefault="00501C2D" w:rsidP="007306DC">
            <w:pPr>
              <w:pStyle w:val="Default"/>
              <w:jc w:val="both"/>
              <w:rPr>
                <w:sz w:val="20"/>
                <w:szCs w:val="20"/>
              </w:rPr>
            </w:pPr>
            <w:r w:rsidRPr="007306DC">
              <w:rPr>
                <w:sz w:val="20"/>
                <w:szCs w:val="20"/>
              </w:rPr>
              <w:t>+</w:t>
            </w:r>
          </w:p>
        </w:tc>
        <w:tc>
          <w:tcPr>
            <w:tcW w:w="1844" w:type="dxa"/>
            <w:gridSpan w:val="19"/>
          </w:tcPr>
          <w:p w:rsidR="00501C2D" w:rsidRPr="007306DC" w:rsidRDefault="00501C2D" w:rsidP="007306DC">
            <w:pPr>
              <w:pStyle w:val="Default"/>
              <w:jc w:val="both"/>
              <w:rPr>
                <w:sz w:val="20"/>
                <w:szCs w:val="20"/>
              </w:rPr>
            </w:pPr>
            <w:r w:rsidRPr="007306DC">
              <w:rPr>
                <w:sz w:val="20"/>
                <w:szCs w:val="20"/>
              </w:rPr>
              <w:t>+</w:t>
            </w:r>
          </w:p>
        </w:tc>
        <w:tc>
          <w:tcPr>
            <w:tcW w:w="1844" w:type="dxa"/>
            <w:gridSpan w:val="18"/>
          </w:tcPr>
          <w:p w:rsidR="00501C2D" w:rsidRPr="007306DC" w:rsidRDefault="00501C2D" w:rsidP="007306DC">
            <w:pPr>
              <w:pStyle w:val="Default"/>
              <w:jc w:val="both"/>
              <w:rPr>
                <w:sz w:val="20"/>
                <w:szCs w:val="20"/>
              </w:rPr>
            </w:pPr>
            <w:r w:rsidRPr="007306DC">
              <w:rPr>
                <w:sz w:val="20"/>
                <w:szCs w:val="20"/>
              </w:rPr>
              <w:t>+</w:t>
            </w:r>
          </w:p>
        </w:tc>
        <w:tc>
          <w:tcPr>
            <w:tcW w:w="1844" w:type="dxa"/>
            <w:gridSpan w:val="23"/>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trHeight w:val="109"/>
        </w:trPr>
        <w:tc>
          <w:tcPr>
            <w:tcW w:w="1844" w:type="dxa"/>
            <w:gridSpan w:val="17"/>
          </w:tcPr>
          <w:p w:rsidR="00501C2D" w:rsidRPr="007306DC" w:rsidRDefault="00501C2D" w:rsidP="007306DC">
            <w:pPr>
              <w:pStyle w:val="Default"/>
              <w:jc w:val="both"/>
              <w:rPr>
                <w:sz w:val="20"/>
                <w:szCs w:val="20"/>
              </w:rPr>
            </w:pPr>
            <w:r w:rsidRPr="007306DC">
              <w:rPr>
                <w:sz w:val="20"/>
                <w:szCs w:val="20"/>
              </w:rPr>
              <w:t>Overeenk. berb.-m.</w:t>
            </w:r>
          </w:p>
        </w:tc>
        <w:tc>
          <w:tcPr>
            <w:tcW w:w="1844" w:type="dxa"/>
            <w:gridSpan w:val="19"/>
          </w:tcPr>
          <w:p w:rsidR="00501C2D" w:rsidRPr="007306DC" w:rsidRDefault="00501C2D" w:rsidP="007306DC">
            <w:pPr>
              <w:pStyle w:val="Default"/>
              <w:jc w:val="both"/>
              <w:rPr>
                <w:sz w:val="20"/>
                <w:szCs w:val="20"/>
              </w:rPr>
            </w:pPr>
            <w:r w:rsidRPr="007306DC">
              <w:rPr>
                <w:sz w:val="20"/>
                <w:szCs w:val="20"/>
              </w:rPr>
              <w:t>+</w:t>
            </w:r>
          </w:p>
        </w:tc>
        <w:tc>
          <w:tcPr>
            <w:tcW w:w="1844" w:type="dxa"/>
            <w:gridSpan w:val="19"/>
          </w:tcPr>
          <w:p w:rsidR="00501C2D" w:rsidRPr="007306DC" w:rsidRDefault="00501C2D" w:rsidP="007306DC">
            <w:pPr>
              <w:pStyle w:val="Default"/>
              <w:jc w:val="both"/>
              <w:rPr>
                <w:sz w:val="20"/>
                <w:szCs w:val="20"/>
              </w:rPr>
            </w:pPr>
            <w:r w:rsidRPr="007306DC">
              <w:rPr>
                <w:sz w:val="20"/>
                <w:szCs w:val="20"/>
              </w:rPr>
              <w:t>+</w:t>
            </w:r>
          </w:p>
        </w:tc>
        <w:tc>
          <w:tcPr>
            <w:tcW w:w="1844" w:type="dxa"/>
            <w:gridSpan w:val="18"/>
          </w:tcPr>
          <w:p w:rsidR="00501C2D" w:rsidRPr="007306DC" w:rsidRDefault="00501C2D" w:rsidP="007306DC">
            <w:pPr>
              <w:pStyle w:val="Default"/>
              <w:jc w:val="both"/>
              <w:rPr>
                <w:sz w:val="20"/>
                <w:szCs w:val="20"/>
              </w:rPr>
            </w:pPr>
            <w:r w:rsidRPr="007306DC">
              <w:rPr>
                <w:sz w:val="20"/>
                <w:szCs w:val="20"/>
              </w:rPr>
              <w:t>+</w:t>
            </w:r>
          </w:p>
        </w:tc>
        <w:tc>
          <w:tcPr>
            <w:tcW w:w="1844" w:type="dxa"/>
            <w:gridSpan w:val="23"/>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2"/>
          <w:wAfter w:w="6" w:type="dxa"/>
          <w:trHeight w:val="109"/>
        </w:trPr>
        <w:tc>
          <w:tcPr>
            <w:tcW w:w="768" w:type="dxa"/>
            <w:gridSpan w:val="5"/>
          </w:tcPr>
          <w:p w:rsidR="00501C2D" w:rsidRPr="007306DC" w:rsidRDefault="00501C2D" w:rsidP="007306DC">
            <w:pPr>
              <w:pStyle w:val="Default"/>
              <w:jc w:val="both"/>
              <w:rPr>
                <w:sz w:val="20"/>
                <w:szCs w:val="20"/>
              </w:rPr>
            </w:pPr>
            <w:r w:rsidRPr="007306DC">
              <w:rPr>
                <w:b/>
                <w:bCs/>
                <w:sz w:val="20"/>
                <w:szCs w:val="20"/>
              </w:rPr>
              <w:t>Zwakheid kerk</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9"/>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9"/>
          </w:tcPr>
          <w:p w:rsidR="00501C2D" w:rsidRPr="007306DC" w:rsidRDefault="00501C2D" w:rsidP="007306DC">
            <w:pPr>
              <w:pStyle w:val="Default"/>
              <w:jc w:val="both"/>
              <w:rPr>
                <w:sz w:val="20"/>
                <w:szCs w:val="20"/>
              </w:rPr>
            </w:pPr>
            <w:r w:rsidRPr="007306DC">
              <w:rPr>
                <w:sz w:val="20"/>
                <w:szCs w:val="20"/>
              </w:rPr>
              <w:t>+</w:t>
            </w:r>
          </w:p>
        </w:tc>
        <w:tc>
          <w:tcPr>
            <w:tcW w:w="768" w:type="dxa"/>
            <w:gridSpan w:val="7"/>
          </w:tcPr>
          <w:p w:rsidR="00501C2D" w:rsidRPr="007306DC" w:rsidRDefault="00501C2D" w:rsidP="007306DC">
            <w:pPr>
              <w:pStyle w:val="Default"/>
              <w:jc w:val="both"/>
              <w:rPr>
                <w:sz w:val="20"/>
                <w:szCs w:val="20"/>
              </w:rPr>
            </w:pPr>
            <w:r w:rsidRPr="007306DC">
              <w:rPr>
                <w:sz w:val="20"/>
                <w:szCs w:val="20"/>
              </w:rPr>
              <w:t>?</w:t>
            </w:r>
          </w:p>
        </w:tc>
        <w:tc>
          <w:tcPr>
            <w:tcW w:w="768" w:type="dxa"/>
            <w:gridSpan w:val="7"/>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8"/>
          </w:tcPr>
          <w:p w:rsidR="00501C2D" w:rsidRPr="007306DC" w:rsidRDefault="00501C2D" w:rsidP="007306DC">
            <w:pPr>
              <w:pStyle w:val="Default"/>
              <w:jc w:val="both"/>
              <w:rPr>
                <w:sz w:val="20"/>
                <w:szCs w:val="20"/>
              </w:rPr>
            </w:pPr>
            <w:r w:rsidRPr="007306DC">
              <w:rPr>
                <w:sz w:val="20"/>
                <w:szCs w:val="20"/>
              </w:rPr>
              <w:t>+</w:t>
            </w:r>
          </w:p>
        </w:tc>
        <w:tc>
          <w:tcPr>
            <w:tcW w:w="768" w:type="dxa"/>
            <w:gridSpan w:val="9"/>
          </w:tcPr>
          <w:p w:rsidR="00501C2D" w:rsidRPr="007306DC" w:rsidRDefault="00501C2D" w:rsidP="007306DC">
            <w:pPr>
              <w:pStyle w:val="Default"/>
              <w:jc w:val="both"/>
              <w:rPr>
                <w:sz w:val="20"/>
                <w:szCs w:val="20"/>
              </w:rPr>
            </w:pPr>
            <w:r w:rsidRPr="007306DC">
              <w:rPr>
                <w:sz w:val="20"/>
                <w:szCs w:val="20"/>
              </w:rPr>
              <w:t>+</w:t>
            </w:r>
          </w:p>
        </w:tc>
        <w:tc>
          <w:tcPr>
            <w:tcW w:w="768" w:type="dxa"/>
            <w:gridSpan w:val="10"/>
          </w:tcPr>
          <w:p w:rsidR="00501C2D" w:rsidRPr="007306DC" w:rsidRDefault="00501C2D" w:rsidP="007306DC">
            <w:pPr>
              <w:pStyle w:val="Default"/>
              <w:jc w:val="both"/>
              <w:rPr>
                <w:sz w:val="20"/>
                <w:szCs w:val="20"/>
              </w:rPr>
            </w:pPr>
            <w:r w:rsidRPr="007306DC">
              <w:rPr>
                <w:sz w:val="20"/>
                <w:szCs w:val="20"/>
              </w:rPr>
              <w:t>+</w:t>
            </w:r>
          </w:p>
        </w:tc>
        <w:tc>
          <w:tcPr>
            <w:tcW w:w="768" w:type="dxa"/>
            <w:gridSpan w:val="6"/>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2"/>
          <w:wAfter w:w="6" w:type="dxa"/>
          <w:trHeight w:val="109"/>
        </w:trPr>
        <w:tc>
          <w:tcPr>
            <w:tcW w:w="1152" w:type="dxa"/>
            <w:gridSpan w:val="10"/>
          </w:tcPr>
          <w:p w:rsidR="00501C2D" w:rsidRPr="007306DC" w:rsidRDefault="00501C2D" w:rsidP="007306DC">
            <w:pPr>
              <w:pStyle w:val="Default"/>
              <w:jc w:val="both"/>
              <w:rPr>
                <w:sz w:val="20"/>
                <w:szCs w:val="20"/>
              </w:rPr>
            </w:pPr>
            <w:r w:rsidRPr="007306DC">
              <w:rPr>
                <w:sz w:val="20"/>
                <w:szCs w:val="20"/>
              </w:rPr>
              <w:t>Twisten</w:t>
            </w:r>
          </w:p>
        </w:tc>
        <w:tc>
          <w:tcPr>
            <w:tcW w:w="1152" w:type="dxa"/>
            <w:gridSpan w:val="12"/>
          </w:tcPr>
          <w:p w:rsidR="00501C2D" w:rsidRPr="007306DC" w:rsidRDefault="00501C2D" w:rsidP="007306DC">
            <w:pPr>
              <w:pStyle w:val="Default"/>
              <w:jc w:val="both"/>
              <w:rPr>
                <w:sz w:val="20"/>
                <w:szCs w:val="20"/>
              </w:rPr>
            </w:pPr>
            <w:r w:rsidRPr="007306DC">
              <w:rPr>
                <w:sz w:val="20"/>
                <w:szCs w:val="20"/>
              </w:rPr>
              <w:t>+</w:t>
            </w:r>
          </w:p>
        </w:tc>
        <w:tc>
          <w:tcPr>
            <w:tcW w:w="1152" w:type="dxa"/>
            <w:gridSpan w:val="13"/>
          </w:tcPr>
          <w:p w:rsidR="00501C2D" w:rsidRPr="007306DC" w:rsidRDefault="00501C2D" w:rsidP="007306DC">
            <w:pPr>
              <w:pStyle w:val="Default"/>
              <w:jc w:val="both"/>
              <w:rPr>
                <w:sz w:val="20"/>
                <w:szCs w:val="20"/>
              </w:rPr>
            </w:pPr>
            <w:r w:rsidRPr="007306DC">
              <w:rPr>
                <w:sz w:val="20"/>
                <w:szCs w:val="20"/>
              </w:rPr>
              <w:t>+</w:t>
            </w:r>
          </w:p>
        </w:tc>
        <w:tc>
          <w:tcPr>
            <w:tcW w:w="1152" w:type="dxa"/>
            <w:gridSpan w:val="11"/>
          </w:tcPr>
          <w:p w:rsidR="00501C2D" w:rsidRPr="007306DC" w:rsidRDefault="00501C2D" w:rsidP="007306DC">
            <w:pPr>
              <w:pStyle w:val="Default"/>
              <w:jc w:val="both"/>
              <w:rPr>
                <w:sz w:val="20"/>
                <w:szCs w:val="20"/>
              </w:rPr>
            </w:pPr>
            <w:r w:rsidRPr="007306DC">
              <w:rPr>
                <w:sz w:val="20"/>
                <w:szCs w:val="20"/>
              </w:rPr>
              <w:t>+</w:t>
            </w:r>
          </w:p>
        </w:tc>
        <w:tc>
          <w:tcPr>
            <w:tcW w:w="1152" w:type="dxa"/>
            <w:gridSpan w:val="10"/>
          </w:tcPr>
          <w:p w:rsidR="00501C2D" w:rsidRPr="007306DC" w:rsidRDefault="00501C2D" w:rsidP="007306DC">
            <w:pPr>
              <w:pStyle w:val="Default"/>
              <w:jc w:val="both"/>
              <w:rPr>
                <w:sz w:val="20"/>
                <w:szCs w:val="20"/>
              </w:rPr>
            </w:pPr>
            <w:r w:rsidRPr="007306DC">
              <w:rPr>
                <w:sz w:val="20"/>
                <w:szCs w:val="20"/>
              </w:rPr>
              <w:t>+</w:t>
            </w:r>
          </w:p>
        </w:tc>
        <w:tc>
          <w:tcPr>
            <w:tcW w:w="1152" w:type="dxa"/>
            <w:gridSpan w:val="13"/>
          </w:tcPr>
          <w:p w:rsidR="00501C2D" w:rsidRPr="007306DC" w:rsidRDefault="00501C2D" w:rsidP="007306DC">
            <w:pPr>
              <w:pStyle w:val="Default"/>
              <w:jc w:val="both"/>
              <w:rPr>
                <w:sz w:val="20"/>
                <w:szCs w:val="20"/>
              </w:rPr>
            </w:pPr>
            <w:r w:rsidRPr="007306DC">
              <w:rPr>
                <w:sz w:val="20"/>
                <w:szCs w:val="20"/>
              </w:rPr>
              <w:t>+</w:t>
            </w:r>
          </w:p>
        </w:tc>
        <w:tc>
          <w:tcPr>
            <w:tcW w:w="1152" w:type="dxa"/>
            <w:gridSpan w:val="13"/>
          </w:tcPr>
          <w:p w:rsidR="00501C2D" w:rsidRPr="007306DC" w:rsidRDefault="00501C2D" w:rsidP="007306DC">
            <w:pPr>
              <w:pStyle w:val="Default"/>
              <w:jc w:val="both"/>
              <w:rPr>
                <w:sz w:val="20"/>
                <w:szCs w:val="20"/>
              </w:rPr>
            </w:pPr>
            <w:r w:rsidRPr="007306DC">
              <w:rPr>
                <w:sz w:val="20"/>
                <w:szCs w:val="20"/>
              </w:rPr>
              <w:t>+</w:t>
            </w:r>
          </w:p>
        </w:tc>
        <w:tc>
          <w:tcPr>
            <w:tcW w:w="1152" w:type="dxa"/>
            <w:gridSpan w:val="12"/>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2"/>
          <w:wAfter w:w="6" w:type="dxa"/>
          <w:trHeight w:val="109"/>
        </w:trPr>
        <w:tc>
          <w:tcPr>
            <w:tcW w:w="1152" w:type="dxa"/>
            <w:gridSpan w:val="10"/>
          </w:tcPr>
          <w:p w:rsidR="00501C2D" w:rsidRPr="007306DC" w:rsidRDefault="00501C2D" w:rsidP="007306DC">
            <w:pPr>
              <w:pStyle w:val="Default"/>
              <w:jc w:val="both"/>
              <w:rPr>
                <w:sz w:val="20"/>
                <w:szCs w:val="20"/>
              </w:rPr>
            </w:pPr>
            <w:r w:rsidRPr="007306DC">
              <w:rPr>
                <w:sz w:val="20"/>
                <w:szCs w:val="20"/>
              </w:rPr>
              <w:t>Apostasie</w:t>
            </w:r>
          </w:p>
        </w:tc>
        <w:tc>
          <w:tcPr>
            <w:tcW w:w="1152" w:type="dxa"/>
            <w:gridSpan w:val="12"/>
          </w:tcPr>
          <w:p w:rsidR="00501C2D" w:rsidRPr="007306DC" w:rsidRDefault="00501C2D" w:rsidP="007306DC">
            <w:pPr>
              <w:pStyle w:val="Default"/>
              <w:jc w:val="both"/>
              <w:rPr>
                <w:sz w:val="20"/>
                <w:szCs w:val="20"/>
              </w:rPr>
            </w:pPr>
            <w:r w:rsidRPr="007306DC">
              <w:rPr>
                <w:sz w:val="20"/>
                <w:szCs w:val="20"/>
              </w:rPr>
              <w:t>+</w:t>
            </w:r>
          </w:p>
        </w:tc>
        <w:tc>
          <w:tcPr>
            <w:tcW w:w="1152" w:type="dxa"/>
            <w:gridSpan w:val="13"/>
          </w:tcPr>
          <w:p w:rsidR="00501C2D" w:rsidRPr="007306DC" w:rsidRDefault="00501C2D" w:rsidP="007306DC">
            <w:pPr>
              <w:pStyle w:val="Default"/>
              <w:jc w:val="both"/>
              <w:rPr>
                <w:sz w:val="20"/>
                <w:szCs w:val="20"/>
              </w:rPr>
            </w:pPr>
            <w:r w:rsidRPr="007306DC">
              <w:rPr>
                <w:sz w:val="20"/>
                <w:szCs w:val="20"/>
              </w:rPr>
              <w:t>+</w:t>
            </w:r>
          </w:p>
        </w:tc>
        <w:tc>
          <w:tcPr>
            <w:tcW w:w="1152" w:type="dxa"/>
            <w:gridSpan w:val="11"/>
          </w:tcPr>
          <w:p w:rsidR="00501C2D" w:rsidRPr="007306DC" w:rsidRDefault="00501C2D" w:rsidP="007306DC">
            <w:pPr>
              <w:pStyle w:val="Default"/>
              <w:jc w:val="both"/>
              <w:rPr>
                <w:sz w:val="20"/>
                <w:szCs w:val="20"/>
              </w:rPr>
            </w:pPr>
            <w:r w:rsidRPr="007306DC">
              <w:rPr>
                <w:sz w:val="20"/>
                <w:szCs w:val="20"/>
              </w:rPr>
              <w:t>#</w:t>
            </w:r>
          </w:p>
        </w:tc>
        <w:tc>
          <w:tcPr>
            <w:tcW w:w="1152" w:type="dxa"/>
            <w:gridSpan w:val="10"/>
          </w:tcPr>
          <w:p w:rsidR="00501C2D" w:rsidRPr="007306DC" w:rsidRDefault="00501C2D" w:rsidP="007306DC">
            <w:pPr>
              <w:pStyle w:val="Default"/>
              <w:jc w:val="both"/>
              <w:rPr>
                <w:sz w:val="20"/>
                <w:szCs w:val="20"/>
              </w:rPr>
            </w:pPr>
            <w:r w:rsidRPr="007306DC">
              <w:rPr>
                <w:sz w:val="20"/>
                <w:szCs w:val="20"/>
              </w:rPr>
              <w:t>+</w:t>
            </w:r>
          </w:p>
        </w:tc>
        <w:tc>
          <w:tcPr>
            <w:tcW w:w="1152" w:type="dxa"/>
            <w:gridSpan w:val="13"/>
          </w:tcPr>
          <w:p w:rsidR="00501C2D" w:rsidRPr="007306DC" w:rsidRDefault="00501C2D" w:rsidP="007306DC">
            <w:pPr>
              <w:pStyle w:val="Default"/>
              <w:jc w:val="both"/>
              <w:rPr>
                <w:sz w:val="20"/>
                <w:szCs w:val="20"/>
              </w:rPr>
            </w:pPr>
            <w:r w:rsidRPr="007306DC">
              <w:rPr>
                <w:sz w:val="20"/>
                <w:szCs w:val="20"/>
              </w:rPr>
              <w:t>+</w:t>
            </w:r>
          </w:p>
        </w:tc>
        <w:tc>
          <w:tcPr>
            <w:tcW w:w="1152" w:type="dxa"/>
            <w:gridSpan w:val="13"/>
          </w:tcPr>
          <w:p w:rsidR="00501C2D" w:rsidRPr="007306DC" w:rsidRDefault="00501C2D" w:rsidP="007306DC">
            <w:pPr>
              <w:pStyle w:val="Default"/>
              <w:jc w:val="both"/>
              <w:rPr>
                <w:sz w:val="20"/>
                <w:szCs w:val="20"/>
              </w:rPr>
            </w:pPr>
            <w:r w:rsidRPr="007306DC">
              <w:rPr>
                <w:sz w:val="20"/>
                <w:szCs w:val="20"/>
              </w:rPr>
              <w:t>+</w:t>
            </w:r>
          </w:p>
        </w:tc>
        <w:tc>
          <w:tcPr>
            <w:tcW w:w="1152" w:type="dxa"/>
            <w:gridSpan w:val="12"/>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trHeight w:val="109"/>
        </w:trPr>
        <w:tc>
          <w:tcPr>
            <w:tcW w:w="1844" w:type="dxa"/>
            <w:gridSpan w:val="17"/>
          </w:tcPr>
          <w:p w:rsidR="00501C2D" w:rsidRPr="007306DC" w:rsidRDefault="00501C2D" w:rsidP="007306DC">
            <w:pPr>
              <w:pStyle w:val="Default"/>
              <w:jc w:val="both"/>
              <w:rPr>
                <w:sz w:val="20"/>
                <w:szCs w:val="20"/>
              </w:rPr>
            </w:pPr>
            <w:r w:rsidRPr="007306DC">
              <w:rPr>
                <w:sz w:val="20"/>
                <w:szCs w:val="20"/>
              </w:rPr>
              <w:t>Gods toorn</w:t>
            </w:r>
          </w:p>
        </w:tc>
        <w:tc>
          <w:tcPr>
            <w:tcW w:w="1844" w:type="dxa"/>
            <w:gridSpan w:val="19"/>
          </w:tcPr>
          <w:p w:rsidR="00501C2D" w:rsidRPr="007306DC" w:rsidRDefault="00501C2D" w:rsidP="007306DC">
            <w:pPr>
              <w:pStyle w:val="Default"/>
              <w:jc w:val="both"/>
              <w:rPr>
                <w:sz w:val="20"/>
                <w:szCs w:val="20"/>
              </w:rPr>
            </w:pPr>
            <w:r w:rsidRPr="007306DC">
              <w:rPr>
                <w:sz w:val="20"/>
                <w:szCs w:val="20"/>
              </w:rPr>
              <w:t>+</w:t>
            </w:r>
          </w:p>
        </w:tc>
        <w:tc>
          <w:tcPr>
            <w:tcW w:w="1844" w:type="dxa"/>
            <w:gridSpan w:val="19"/>
          </w:tcPr>
          <w:p w:rsidR="00501C2D" w:rsidRPr="007306DC" w:rsidRDefault="00501C2D" w:rsidP="007306DC">
            <w:pPr>
              <w:pStyle w:val="Default"/>
              <w:jc w:val="both"/>
              <w:rPr>
                <w:sz w:val="20"/>
                <w:szCs w:val="20"/>
              </w:rPr>
            </w:pPr>
            <w:r w:rsidRPr="007306DC">
              <w:rPr>
                <w:sz w:val="20"/>
                <w:szCs w:val="20"/>
              </w:rPr>
              <w:t>+</w:t>
            </w:r>
          </w:p>
        </w:tc>
        <w:tc>
          <w:tcPr>
            <w:tcW w:w="1844" w:type="dxa"/>
            <w:gridSpan w:val="18"/>
          </w:tcPr>
          <w:p w:rsidR="00501C2D" w:rsidRPr="007306DC" w:rsidRDefault="00501C2D" w:rsidP="007306DC">
            <w:pPr>
              <w:pStyle w:val="Default"/>
              <w:jc w:val="both"/>
              <w:rPr>
                <w:sz w:val="20"/>
                <w:szCs w:val="20"/>
              </w:rPr>
            </w:pPr>
            <w:r w:rsidRPr="007306DC">
              <w:rPr>
                <w:sz w:val="20"/>
                <w:szCs w:val="20"/>
              </w:rPr>
              <w:t>–</w:t>
            </w:r>
          </w:p>
        </w:tc>
        <w:tc>
          <w:tcPr>
            <w:tcW w:w="1844" w:type="dxa"/>
            <w:gridSpan w:val="23"/>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2"/>
          <w:wAfter w:w="4" w:type="dxa"/>
          <w:trHeight w:val="109"/>
        </w:trPr>
        <w:tc>
          <w:tcPr>
            <w:tcW w:w="838" w:type="dxa"/>
            <w:gridSpan w:val="6"/>
          </w:tcPr>
          <w:p w:rsidR="00501C2D" w:rsidRPr="007306DC" w:rsidRDefault="00501C2D" w:rsidP="007306DC">
            <w:pPr>
              <w:pStyle w:val="Default"/>
              <w:jc w:val="both"/>
              <w:rPr>
                <w:sz w:val="20"/>
                <w:szCs w:val="20"/>
              </w:rPr>
            </w:pPr>
            <w:r w:rsidRPr="007306DC">
              <w:rPr>
                <w:sz w:val="20"/>
                <w:szCs w:val="20"/>
              </w:rPr>
              <w:t>Clerus/bisdommen</w:t>
            </w:r>
          </w:p>
        </w:tc>
        <w:tc>
          <w:tcPr>
            <w:tcW w:w="838" w:type="dxa"/>
            <w:gridSpan w:val="9"/>
          </w:tcPr>
          <w:p w:rsidR="00501C2D" w:rsidRPr="007306DC" w:rsidRDefault="00501C2D" w:rsidP="007306DC">
            <w:pPr>
              <w:pStyle w:val="Default"/>
              <w:jc w:val="both"/>
              <w:rPr>
                <w:sz w:val="20"/>
                <w:szCs w:val="20"/>
              </w:rPr>
            </w:pPr>
            <w:r w:rsidRPr="007306DC">
              <w:rPr>
                <w:sz w:val="20"/>
                <w:szCs w:val="20"/>
              </w:rPr>
              <w:t>+</w:t>
            </w:r>
          </w:p>
        </w:tc>
        <w:tc>
          <w:tcPr>
            <w:tcW w:w="838" w:type="dxa"/>
            <w:gridSpan w:val="9"/>
          </w:tcPr>
          <w:p w:rsidR="00501C2D" w:rsidRPr="007306DC" w:rsidRDefault="00501C2D" w:rsidP="007306DC">
            <w:pPr>
              <w:pStyle w:val="Default"/>
              <w:jc w:val="both"/>
              <w:rPr>
                <w:sz w:val="20"/>
                <w:szCs w:val="20"/>
              </w:rPr>
            </w:pPr>
            <w:r w:rsidRPr="007306DC">
              <w:rPr>
                <w:sz w:val="20"/>
                <w:szCs w:val="20"/>
              </w:rPr>
              <w:t>+</w:t>
            </w:r>
          </w:p>
        </w:tc>
        <w:tc>
          <w:tcPr>
            <w:tcW w:w="838" w:type="dxa"/>
            <w:gridSpan w:val="9"/>
          </w:tcPr>
          <w:p w:rsidR="00501C2D" w:rsidRPr="007306DC" w:rsidRDefault="00501C2D" w:rsidP="007306DC">
            <w:pPr>
              <w:pStyle w:val="Default"/>
              <w:jc w:val="both"/>
              <w:rPr>
                <w:sz w:val="20"/>
                <w:szCs w:val="20"/>
              </w:rPr>
            </w:pPr>
            <w:r w:rsidRPr="007306DC">
              <w:rPr>
                <w:sz w:val="20"/>
                <w:szCs w:val="20"/>
              </w:rPr>
              <w:t>+</w:t>
            </w:r>
          </w:p>
        </w:tc>
        <w:tc>
          <w:tcPr>
            <w:tcW w:w="838" w:type="dxa"/>
            <w:gridSpan w:val="10"/>
          </w:tcPr>
          <w:p w:rsidR="00501C2D" w:rsidRPr="007306DC" w:rsidRDefault="00501C2D" w:rsidP="007306DC">
            <w:pPr>
              <w:pStyle w:val="Default"/>
              <w:jc w:val="both"/>
              <w:rPr>
                <w:sz w:val="20"/>
                <w:szCs w:val="20"/>
              </w:rPr>
            </w:pPr>
            <w:r w:rsidRPr="007306DC">
              <w:rPr>
                <w:sz w:val="20"/>
                <w:szCs w:val="20"/>
              </w:rPr>
              <w:t>+</w:t>
            </w:r>
          </w:p>
        </w:tc>
        <w:tc>
          <w:tcPr>
            <w:tcW w:w="838" w:type="dxa"/>
            <w:gridSpan w:val="6"/>
          </w:tcPr>
          <w:p w:rsidR="00501C2D" w:rsidRPr="007306DC" w:rsidRDefault="00501C2D" w:rsidP="007306DC">
            <w:pPr>
              <w:pStyle w:val="Default"/>
              <w:jc w:val="both"/>
              <w:rPr>
                <w:sz w:val="20"/>
                <w:szCs w:val="20"/>
              </w:rPr>
            </w:pPr>
            <w:r w:rsidRPr="007306DC">
              <w:rPr>
                <w:sz w:val="20"/>
                <w:szCs w:val="20"/>
              </w:rPr>
              <w:t>+</w:t>
            </w:r>
          </w:p>
        </w:tc>
        <w:tc>
          <w:tcPr>
            <w:tcW w:w="838" w:type="dxa"/>
            <w:gridSpan w:val="8"/>
          </w:tcPr>
          <w:p w:rsidR="00501C2D" w:rsidRPr="007306DC" w:rsidRDefault="00501C2D" w:rsidP="007306DC">
            <w:pPr>
              <w:pStyle w:val="Default"/>
              <w:jc w:val="both"/>
              <w:rPr>
                <w:sz w:val="20"/>
                <w:szCs w:val="20"/>
              </w:rPr>
            </w:pPr>
            <w:r w:rsidRPr="007306DC">
              <w:rPr>
                <w:sz w:val="20"/>
                <w:szCs w:val="20"/>
              </w:rPr>
              <w:t>?</w:t>
            </w:r>
          </w:p>
        </w:tc>
        <w:tc>
          <w:tcPr>
            <w:tcW w:w="838" w:type="dxa"/>
            <w:gridSpan w:val="9"/>
          </w:tcPr>
          <w:p w:rsidR="00501C2D" w:rsidRPr="007306DC" w:rsidRDefault="00501C2D" w:rsidP="007306DC">
            <w:pPr>
              <w:pStyle w:val="Default"/>
              <w:jc w:val="both"/>
              <w:rPr>
                <w:sz w:val="20"/>
                <w:szCs w:val="20"/>
              </w:rPr>
            </w:pPr>
            <w:r w:rsidRPr="007306DC">
              <w:rPr>
                <w:sz w:val="20"/>
                <w:szCs w:val="20"/>
              </w:rPr>
              <w:t>+</w:t>
            </w:r>
          </w:p>
        </w:tc>
        <w:tc>
          <w:tcPr>
            <w:tcW w:w="838" w:type="dxa"/>
            <w:gridSpan w:val="9"/>
          </w:tcPr>
          <w:p w:rsidR="00501C2D" w:rsidRPr="007306DC" w:rsidRDefault="00501C2D" w:rsidP="007306DC">
            <w:pPr>
              <w:pStyle w:val="Default"/>
              <w:jc w:val="both"/>
              <w:rPr>
                <w:sz w:val="20"/>
                <w:szCs w:val="20"/>
              </w:rPr>
            </w:pPr>
            <w:r w:rsidRPr="007306DC">
              <w:rPr>
                <w:sz w:val="20"/>
                <w:szCs w:val="20"/>
              </w:rPr>
              <w:t>+</w:t>
            </w:r>
          </w:p>
        </w:tc>
        <w:tc>
          <w:tcPr>
            <w:tcW w:w="838" w:type="dxa"/>
            <w:gridSpan w:val="11"/>
          </w:tcPr>
          <w:p w:rsidR="00501C2D" w:rsidRPr="007306DC" w:rsidRDefault="00501C2D" w:rsidP="007306DC">
            <w:pPr>
              <w:pStyle w:val="Default"/>
              <w:jc w:val="both"/>
              <w:rPr>
                <w:sz w:val="20"/>
                <w:szCs w:val="20"/>
              </w:rPr>
            </w:pPr>
            <w:r w:rsidRPr="007306DC">
              <w:rPr>
                <w:sz w:val="20"/>
                <w:szCs w:val="20"/>
              </w:rPr>
              <w:t>+</w:t>
            </w:r>
          </w:p>
        </w:tc>
        <w:tc>
          <w:tcPr>
            <w:tcW w:w="838" w:type="dxa"/>
            <w:gridSpan w:val="8"/>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2"/>
          <w:wAfter w:w="4" w:type="dxa"/>
          <w:trHeight w:val="109"/>
        </w:trPr>
        <w:tc>
          <w:tcPr>
            <w:tcW w:w="838" w:type="dxa"/>
            <w:gridSpan w:val="6"/>
          </w:tcPr>
          <w:p w:rsidR="00501C2D" w:rsidRPr="007306DC" w:rsidRDefault="00501C2D" w:rsidP="007306DC">
            <w:pPr>
              <w:pStyle w:val="Default"/>
              <w:jc w:val="both"/>
              <w:rPr>
                <w:sz w:val="20"/>
                <w:szCs w:val="20"/>
              </w:rPr>
            </w:pPr>
            <w:r w:rsidRPr="007306DC">
              <w:rPr>
                <w:sz w:val="20"/>
                <w:szCs w:val="20"/>
              </w:rPr>
              <w:t>(R)emigratie christ.</w:t>
            </w:r>
          </w:p>
        </w:tc>
        <w:tc>
          <w:tcPr>
            <w:tcW w:w="838" w:type="dxa"/>
            <w:gridSpan w:val="9"/>
          </w:tcPr>
          <w:p w:rsidR="00501C2D" w:rsidRPr="007306DC" w:rsidRDefault="00501C2D" w:rsidP="007306DC">
            <w:pPr>
              <w:pStyle w:val="Default"/>
              <w:jc w:val="both"/>
              <w:rPr>
                <w:sz w:val="20"/>
                <w:szCs w:val="20"/>
              </w:rPr>
            </w:pPr>
            <w:r w:rsidRPr="007306DC">
              <w:rPr>
                <w:sz w:val="20"/>
                <w:szCs w:val="20"/>
              </w:rPr>
              <w:t>+</w:t>
            </w:r>
          </w:p>
        </w:tc>
        <w:tc>
          <w:tcPr>
            <w:tcW w:w="838" w:type="dxa"/>
            <w:gridSpan w:val="9"/>
          </w:tcPr>
          <w:p w:rsidR="00501C2D" w:rsidRPr="007306DC" w:rsidRDefault="00501C2D" w:rsidP="007306DC">
            <w:pPr>
              <w:pStyle w:val="Default"/>
              <w:jc w:val="both"/>
              <w:rPr>
                <w:sz w:val="20"/>
                <w:szCs w:val="20"/>
              </w:rPr>
            </w:pPr>
            <w:r w:rsidRPr="007306DC">
              <w:rPr>
                <w:sz w:val="20"/>
                <w:szCs w:val="20"/>
              </w:rPr>
              <w:t>+</w:t>
            </w:r>
          </w:p>
        </w:tc>
        <w:tc>
          <w:tcPr>
            <w:tcW w:w="838" w:type="dxa"/>
            <w:gridSpan w:val="9"/>
          </w:tcPr>
          <w:p w:rsidR="00501C2D" w:rsidRPr="007306DC" w:rsidRDefault="00501C2D" w:rsidP="007306DC">
            <w:pPr>
              <w:pStyle w:val="Default"/>
              <w:jc w:val="both"/>
              <w:rPr>
                <w:sz w:val="20"/>
                <w:szCs w:val="20"/>
              </w:rPr>
            </w:pPr>
            <w:r w:rsidRPr="007306DC">
              <w:rPr>
                <w:sz w:val="20"/>
                <w:szCs w:val="20"/>
              </w:rPr>
              <w:t>+</w:t>
            </w:r>
          </w:p>
        </w:tc>
        <w:tc>
          <w:tcPr>
            <w:tcW w:w="838" w:type="dxa"/>
            <w:gridSpan w:val="10"/>
          </w:tcPr>
          <w:p w:rsidR="00501C2D" w:rsidRPr="007306DC" w:rsidRDefault="00501C2D" w:rsidP="007306DC">
            <w:pPr>
              <w:pStyle w:val="Default"/>
              <w:jc w:val="both"/>
              <w:rPr>
                <w:sz w:val="20"/>
                <w:szCs w:val="20"/>
              </w:rPr>
            </w:pPr>
            <w:r w:rsidRPr="007306DC">
              <w:rPr>
                <w:sz w:val="20"/>
                <w:szCs w:val="20"/>
              </w:rPr>
              <w:t>+</w:t>
            </w:r>
          </w:p>
        </w:tc>
        <w:tc>
          <w:tcPr>
            <w:tcW w:w="838" w:type="dxa"/>
            <w:gridSpan w:val="6"/>
          </w:tcPr>
          <w:p w:rsidR="00501C2D" w:rsidRPr="007306DC" w:rsidRDefault="00501C2D" w:rsidP="007306DC">
            <w:pPr>
              <w:pStyle w:val="Default"/>
              <w:jc w:val="both"/>
              <w:rPr>
                <w:sz w:val="20"/>
                <w:szCs w:val="20"/>
              </w:rPr>
            </w:pPr>
            <w:r w:rsidRPr="007306DC">
              <w:rPr>
                <w:sz w:val="20"/>
                <w:szCs w:val="20"/>
              </w:rPr>
              <w:t>+</w:t>
            </w:r>
          </w:p>
        </w:tc>
        <w:tc>
          <w:tcPr>
            <w:tcW w:w="838" w:type="dxa"/>
            <w:gridSpan w:val="8"/>
          </w:tcPr>
          <w:p w:rsidR="00501C2D" w:rsidRPr="007306DC" w:rsidRDefault="00501C2D" w:rsidP="007306DC">
            <w:pPr>
              <w:pStyle w:val="Default"/>
              <w:jc w:val="both"/>
              <w:rPr>
                <w:sz w:val="20"/>
                <w:szCs w:val="20"/>
              </w:rPr>
            </w:pPr>
            <w:r w:rsidRPr="007306DC">
              <w:rPr>
                <w:sz w:val="20"/>
                <w:szCs w:val="20"/>
              </w:rPr>
              <w:t>+</w:t>
            </w:r>
          </w:p>
        </w:tc>
        <w:tc>
          <w:tcPr>
            <w:tcW w:w="838" w:type="dxa"/>
            <w:gridSpan w:val="9"/>
          </w:tcPr>
          <w:p w:rsidR="00501C2D" w:rsidRPr="007306DC" w:rsidRDefault="00501C2D" w:rsidP="007306DC">
            <w:pPr>
              <w:pStyle w:val="Default"/>
              <w:jc w:val="both"/>
              <w:rPr>
                <w:sz w:val="20"/>
                <w:szCs w:val="20"/>
              </w:rPr>
            </w:pPr>
            <w:r w:rsidRPr="007306DC">
              <w:rPr>
                <w:sz w:val="20"/>
                <w:szCs w:val="20"/>
              </w:rPr>
              <w:t>+</w:t>
            </w:r>
          </w:p>
        </w:tc>
        <w:tc>
          <w:tcPr>
            <w:tcW w:w="838" w:type="dxa"/>
            <w:gridSpan w:val="9"/>
          </w:tcPr>
          <w:p w:rsidR="00501C2D" w:rsidRPr="007306DC" w:rsidRDefault="00501C2D" w:rsidP="007306DC">
            <w:pPr>
              <w:pStyle w:val="Default"/>
              <w:jc w:val="both"/>
              <w:rPr>
                <w:sz w:val="20"/>
                <w:szCs w:val="20"/>
              </w:rPr>
            </w:pPr>
            <w:r w:rsidRPr="007306DC">
              <w:rPr>
                <w:sz w:val="20"/>
                <w:szCs w:val="20"/>
              </w:rPr>
              <w:t>+</w:t>
            </w:r>
          </w:p>
        </w:tc>
        <w:tc>
          <w:tcPr>
            <w:tcW w:w="838" w:type="dxa"/>
            <w:gridSpan w:val="11"/>
          </w:tcPr>
          <w:p w:rsidR="00501C2D" w:rsidRPr="007306DC" w:rsidRDefault="00501C2D" w:rsidP="007306DC">
            <w:pPr>
              <w:pStyle w:val="Default"/>
              <w:jc w:val="both"/>
              <w:rPr>
                <w:sz w:val="20"/>
                <w:szCs w:val="20"/>
              </w:rPr>
            </w:pPr>
            <w:r w:rsidRPr="007306DC">
              <w:rPr>
                <w:sz w:val="20"/>
                <w:szCs w:val="20"/>
              </w:rPr>
              <w:t>+</w:t>
            </w:r>
          </w:p>
        </w:tc>
        <w:tc>
          <w:tcPr>
            <w:tcW w:w="838" w:type="dxa"/>
            <w:gridSpan w:val="8"/>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trHeight w:val="109"/>
        </w:trPr>
        <w:tc>
          <w:tcPr>
            <w:tcW w:w="2305" w:type="dxa"/>
            <w:gridSpan w:val="22"/>
          </w:tcPr>
          <w:p w:rsidR="00501C2D" w:rsidRPr="007306DC" w:rsidRDefault="00501C2D" w:rsidP="007306DC">
            <w:pPr>
              <w:pStyle w:val="Default"/>
              <w:jc w:val="both"/>
              <w:rPr>
                <w:sz w:val="20"/>
                <w:szCs w:val="20"/>
              </w:rPr>
            </w:pPr>
            <w:r w:rsidRPr="007306DC">
              <w:rPr>
                <w:sz w:val="20"/>
                <w:szCs w:val="20"/>
              </w:rPr>
              <w:t>Politieke keuzen</w:t>
            </w:r>
          </w:p>
        </w:tc>
        <w:tc>
          <w:tcPr>
            <w:tcW w:w="2305" w:type="dxa"/>
            <w:gridSpan w:val="24"/>
          </w:tcPr>
          <w:p w:rsidR="00501C2D" w:rsidRPr="007306DC" w:rsidRDefault="00501C2D" w:rsidP="007306DC">
            <w:pPr>
              <w:pStyle w:val="Default"/>
              <w:jc w:val="both"/>
              <w:rPr>
                <w:sz w:val="20"/>
                <w:szCs w:val="20"/>
              </w:rPr>
            </w:pPr>
            <w:r w:rsidRPr="007306DC">
              <w:rPr>
                <w:sz w:val="20"/>
                <w:szCs w:val="20"/>
              </w:rPr>
              <w:t>+</w:t>
            </w:r>
          </w:p>
        </w:tc>
        <w:tc>
          <w:tcPr>
            <w:tcW w:w="2305" w:type="dxa"/>
            <w:gridSpan w:val="23"/>
          </w:tcPr>
          <w:p w:rsidR="00501C2D" w:rsidRPr="007306DC" w:rsidRDefault="00501C2D" w:rsidP="007306DC">
            <w:pPr>
              <w:pStyle w:val="Default"/>
              <w:jc w:val="both"/>
              <w:rPr>
                <w:sz w:val="20"/>
                <w:szCs w:val="20"/>
              </w:rPr>
            </w:pPr>
            <w:r w:rsidRPr="007306DC">
              <w:rPr>
                <w:sz w:val="20"/>
                <w:szCs w:val="20"/>
              </w:rPr>
              <w:t>+</w:t>
            </w:r>
          </w:p>
        </w:tc>
        <w:tc>
          <w:tcPr>
            <w:tcW w:w="2305" w:type="dxa"/>
            <w:gridSpan w:val="27"/>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trHeight w:val="109"/>
        </w:trPr>
        <w:tc>
          <w:tcPr>
            <w:tcW w:w="3074" w:type="dxa"/>
            <w:gridSpan w:val="30"/>
          </w:tcPr>
          <w:p w:rsidR="00501C2D" w:rsidRPr="007306DC" w:rsidRDefault="00501C2D" w:rsidP="007306DC">
            <w:pPr>
              <w:pStyle w:val="Default"/>
              <w:jc w:val="both"/>
              <w:rPr>
                <w:sz w:val="20"/>
                <w:szCs w:val="20"/>
              </w:rPr>
            </w:pPr>
            <w:r w:rsidRPr="007306DC">
              <w:rPr>
                <w:sz w:val="20"/>
                <w:szCs w:val="20"/>
              </w:rPr>
              <w:t>Geen monachisme</w:t>
            </w:r>
          </w:p>
        </w:tc>
        <w:tc>
          <w:tcPr>
            <w:tcW w:w="3074" w:type="dxa"/>
            <w:gridSpan w:val="31"/>
          </w:tcPr>
          <w:p w:rsidR="00501C2D" w:rsidRPr="007306DC" w:rsidRDefault="00501C2D" w:rsidP="007306DC">
            <w:pPr>
              <w:pStyle w:val="Default"/>
              <w:jc w:val="both"/>
              <w:rPr>
                <w:sz w:val="20"/>
                <w:szCs w:val="20"/>
              </w:rPr>
            </w:pPr>
            <w:r w:rsidRPr="007306DC">
              <w:rPr>
                <w:sz w:val="20"/>
                <w:szCs w:val="20"/>
              </w:rPr>
              <w:t>+</w:t>
            </w:r>
          </w:p>
        </w:tc>
        <w:tc>
          <w:tcPr>
            <w:tcW w:w="3074" w:type="dxa"/>
            <w:gridSpan w:val="35"/>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trHeight w:val="109"/>
        </w:trPr>
        <w:tc>
          <w:tcPr>
            <w:tcW w:w="2305" w:type="dxa"/>
            <w:gridSpan w:val="22"/>
          </w:tcPr>
          <w:p w:rsidR="00501C2D" w:rsidRPr="007306DC" w:rsidRDefault="00501C2D" w:rsidP="007306DC">
            <w:pPr>
              <w:pStyle w:val="Default"/>
              <w:jc w:val="both"/>
              <w:rPr>
                <w:sz w:val="20"/>
                <w:szCs w:val="20"/>
              </w:rPr>
            </w:pPr>
            <w:r w:rsidRPr="007306DC">
              <w:rPr>
                <w:b/>
                <w:bCs/>
                <w:sz w:val="20"/>
                <w:szCs w:val="20"/>
              </w:rPr>
              <w:t>Geen mission.drang</w:t>
            </w:r>
          </w:p>
        </w:tc>
        <w:tc>
          <w:tcPr>
            <w:tcW w:w="2305" w:type="dxa"/>
            <w:gridSpan w:val="24"/>
          </w:tcPr>
          <w:p w:rsidR="00501C2D" w:rsidRPr="007306DC" w:rsidRDefault="00501C2D" w:rsidP="007306DC">
            <w:pPr>
              <w:pStyle w:val="Default"/>
              <w:jc w:val="both"/>
              <w:rPr>
                <w:sz w:val="20"/>
                <w:szCs w:val="20"/>
              </w:rPr>
            </w:pPr>
            <w:r w:rsidRPr="007306DC">
              <w:rPr>
                <w:sz w:val="20"/>
                <w:szCs w:val="20"/>
              </w:rPr>
              <w:t>+</w:t>
            </w:r>
          </w:p>
        </w:tc>
        <w:tc>
          <w:tcPr>
            <w:tcW w:w="2305" w:type="dxa"/>
            <w:gridSpan w:val="23"/>
          </w:tcPr>
          <w:p w:rsidR="00501C2D" w:rsidRPr="007306DC" w:rsidRDefault="00501C2D" w:rsidP="007306DC">
            <w:pPr>
              <w:pStyle w:val="Default"/>
              <w:jc w:val="both"/>
              <w:rPr>
                <w:sz w:val="20"/>
                <w:szCs w:val="20"/>
              </w:rPr>
            </w:pPr>
            <w:r w:rsidRPr="007306DC">
              <w:rPr>
                <w:sz w:val="20"/>
                <w:szCs w:val="20"/>
              </w:rPr>
              <w:t>+</w:t>
            </w:r>
          </w:p>
        </w:tc>
        <w:tc>
          <w:tcPr>
            <w:tcW w:w="2305" w:type="dxa"/>
            <w:gridSpan w:val="27"/>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trHeight w:val="109"/>
        </w:trPr>
        <w:tc>
          <w:tcPr>
            <w:tcW w:w="1844" w:type="dxa"/>
            <w:gridSpan w:val="17"/>
          </w:tcPr>
          <w:p w:rsidR="00501C2D" w:rsidRPr="007306DC" w:rsidRDefault="00501C2D" w:rsidP="007306DC">
            <w:pPr>
              <w:pStyle w:val="Default"/>
              <w:jc w:val="both"/>
              <w:rPr>
                <w:sz w:val="20"/>
                <w:szCs w:val="20"/>
              </w:rPr>
            </w:pPr>
            <w:r w:rsidRPr="007306DC">
              <w:rPr>
                <w:sz w:val="20"/>
                <w:szCs w:val="20"/>
              </w:rPr>
              <w:t>Heidense religie</w:t>
            </w:r>
          </w:p>
        </w:tc>
        <w:tc>
          <w:tcPr>
            <w:tcW w:w="1844" w:type="dxa"/>
            <w:gridSpan w:val="19"/>
          </w:tcPr>
          <w:p w:rsidR="00501C2D" w:rsidRPr="007306DC" w:rsidRDefault="00501C2D" w:rsidP="007306DC">
            <w:pPr>
              <w:pStyle w:val="Default"/>
              <w:jc w:val="both"/>
              <w:rPr>
                <w:sz w:val="20"/>
                <w:szCs w:val="20"/>
              </w:rPr>
            </w:pPr>
            <w:r w:rsidRPr="007306DC">
              <w:rPr>
                <w:sz w:val="20"/>
                <w:szCs w:val="20"/>
              </w:rPr>
              <w:t>+</w:t>
            </w:r>
          </w:p>
        </w:tc>
        <w:tc>
          <w:tcPr>
            <w:tcW w:w="1844" w:type="dxa"/>
            <w:gridSpan w:val="19"/>
          </w:tcPr>
          <w:p w:rsidR="00501C2D" w:rsidRPr="007306DC" w:rsidRDefault="00501C2D" w:rsidP="007306DC">
            <w:pPr>
              <w:pStyle w:val="Default"/>
              <w:jc w:val="both"/>
              <w:rPr>
                <w:sz w:val="20"/>
                <w:szCs w:val="20"/>
              </w:rPr>
            </w:pPr>
            <w:r w:rsidRPr="007306DC">
              <w:rPr>
                <w:sz w:val="20"/>
                <w:szCs w:val="20"/>
              </w:rPr>
              <w:t>+</w:t>
            </w:r>
          </w:p>
        </w:tc>
        <w:tc>
          <w:tcPr>
            <w:tcW w:w="1844" w:type="dxa"/>
            <w:gridSpan w:val="18"/>
          </w:tcPr>
          <w:p w:rsidR="00501C2D" w:rsidRPr="007306DC" w:rsidRDefault="00501C2D" w:rsidP="007306DC">
            <w:pPr>
              <w:pStyle w:val="Default"/>
              <w:jc w:val="both"/>
              <w:rPr>
                <w:sz w:val="20"/>
                <w:szCs w:val="20"/>
              </w:rPr>
            </w:pPr>
            <w:r w:rsidRPr="007306DC">
              <w:rPr>
                <w:sz w:val="20"/>
                <w:szCs w:val="20"/>
              </w:rPr>
              <w:t>–</w:t>
            </w:r>
          </w:p>
        </w:tc>
        <w:tc>
          <w:tcPr>
            <w:tcW w:w="1844" w:type="dxa"/>
            <w:gridSpan w:val="23"/>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2"/>
          <w:wAfter w:w="3" w:type="dxa"/>
          <w:trHeight w:val="109"/>
        </w:trPr>
        <w:tc>
          <w:tcPr>
            <w:tcW w:w="1317" w:type="dxa"/>
            <w:gridSpan w:val="12"/>
          </w:tcPr>
          <w:p w:rsidR="00501C2D" w:rsidRPr="007306DC" w:rsidRDefault="00501C2D" w:rsidP="007306DC">
            <w:pPr>
              <w:pStyle w:val="Default"/>
              <w:jc w:val="both"/>
              <w:rPr>
                <w:sz w:val="20"/>
                <w:szCs w:val="20"/>
              </w:rPr>
            </w:pPr>
            <w:r w:rsidRPr="007306DC">
              <w:rPr>
                <w:b/>
                <w:bCs/>
                <w:sz w:val="20"/>
                <w:szCs w:val="20"/>
              </w:rPr>
              <w:t>Nomaden</w:t>
            </w:r>
          </w:p>
        </w:tc>
        <w:tc>
          <w:tcPr>
            <w:tcW w:w="1317" w:type="dxa"/>
            <w:gridSpan w:val="13"/>
          </w:tcPr>
          <w:p w:rsidR="00501C2D" w:rsidRPr="007306DC" w:rsidRDefault="00501C2D" w:rsidP="007306DC">
            <w:pPr>
              <w:pStyle w:val="Default"/>
              <w:jc w:val="both"/>
              <w:rPr>
                <w:sz w:val="20"/>
                <w:szCs w:val="20"/>
              </w:rPr>
            </w:pPr>
            <w:r w:rsidRPr="007306DC">
              <w:rPr>
                <w:sz w:val="20"/>
                <w:szCs w:val="20"/>
              </w:rPr>
              <w:t>+</w:t>
            </w:r>
          </w:p>
        </w:tc>
        <w:tc>
          <w:tcPr>
            <w:tcW w:w="1317" w:type="dxa"/>
            <w:gridSpan w:val="15"/>
          </w:tcPr>
          <w:p w:rsidR="00501C2D" w:rsidRPr="007306DC" w:rsidRDefault="00501C2D" w:rsidP="007306DC">
            <w:pPr>
              <w:pStyle w:val="Default"/>
              <w:jc w:val="both"/>
              <w:rPr>
                <w:sz w:val="20"/>
                <w:szCs w:val="20"/>
              </w:rPr>
            </w:pPr>
            <w:r w:rsidRPr="007306DC">
              <w:rPr>
                <w:sz w:val="20"/>
                <w:szCs w:val="20"/>
              </w:rPr>
              <w:t>+</w:t>
            </w:r>
          </w:p>
        </w:tc>
        <w:tc>
          <w:tcPr>
            <w:tcW w:w="1317" w:type="dxa"/>
            <w:gridSpan w:val="12"/>
          </w:tcPr>
          <w:p w:rsidR="00501C2D" w:rsidRPr="007306DC" w:rsidRDefault="00501C2D" w:rsidP="007306DC">
            <w:pPr>
              <w:pStyle w:val="Default"/>
              <w:jc w:val="both"/>
              <w:rPr>
                <w:sz w:val="20"/>
                <w:szCs w:val="20"/>
              </w:rPr>
            </w:pPr>
            <w:r w:rsidRPr="007306DC">
              <w:rPr>
                <w:sz w:val="20"/>
                <w:szCs w:val="20"/>
              </w:rPr>
              <w:t>#</w:t>
            </w:r>
          </w:p>
        </w:tc>
        <w:tc>
          <w:tcPr>
            <w:tcW w:w="1317" w:type="dxa"/>
            <w:gridSpan w:val="13"/>
          </w:tcPr>
          <w:p w:rsidR="00501C2D" w:rsidRPr="007306DC" w:rsidRDefault="00501C2D" w:rsidP="007306DC">
            <w:pPr>
              <w:pStyle w:val="Default"/>
              <w:jc w:val="both"/>
              <w:rPr>
                <w:sz w:val="20"/>
                <w:szCs w:val="20"/>
              </w:rPr>
            </w:pPr>
            <w:r w:rsidRPr="007306DC">
              <w:rPr>
                <w:sz w:val="20"/>
                <w:szCs w:val="20"/>
              </w:rPr>
              <w:t>+</w:t>
            </w:r>
          </w:p>
        </w:tc>
        <w:tc>
          <w:tcPr>
            <w:tcW w:w="1317" w:type="dxa"/>
            <w:gridSpan w:val="14"/>
          </w:tcPr>
          <w:p w:rsidR="00501C2D" w:rsidRPr="007306DC" w:rsidRDefault="00501C2D" w:rsidP="007306DC">
            <w:pPr>
              <w:pStyle w:val="Default"/>
              <w:jc w:val="both"/>
              <w:rPr>
                <w:sz w:val="20"/>
                <w:szCs w:val="20"/>
              </w:rPr>
            </w:pPr>
            <w:r w:rsidRPr="007306DC">
              <w:rPr>
                <w:sz w:val="20"/>
                <w:szCs w:val="20"/>
              </w:rPr>
              <w:t>+</w:t>
            </w:r>
          </w:p>
        </w:tc>
        <w:tc>
          <w:tcPr>
            <w:tcW w:w="1317" w:type="dxa"/>
            <w:gridSpan w:val="15"/>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trHeight w:val="109"/>
        </w:trPr>
        <w:tc>
          <w:tcPr>
            <w:tcW w:w="1844" w:type="dxa"/>
            <w:gridSpan w:val="17"/>
          </w:tcPr>
          <w:p w:rsidR="00501C2D" w:rsidRPr="007306DC" w:rsidRDefault="00501C2D" w:rsidP="007306DC">
            <w:pPr>
              <w:pStyle w:val="Default"/>
              <w:jc w:val="both"/>
              <w:rPr>
                <w:sz w:val="20"/>
                <w:szCs w:val="20"/>
              </w:rPr>
            </w:pPr>
            <w:r w:rsidRPr="007306DC">
              <w:rPr>
                <w:sz w:val="20"/>
                <w:szCs w:val="20"/>
              </w:rPr>
              <w:t>Politieke onrust</w:t>
            </w:r>
          </w:p>
        </w:tc>
        <w:tc>
          <w:tcPr>
            <w:tcW w:w="1844" w:type="dxa"/>
            <w:gridSpan w:val="19"/>
          </w:tcPr>
          <w:p w:rsidR="00501C2D" w:rsidRPr="007306DC" w:rsidRDefault="00501C2D" w:rsidP="007306DC">
            <w:pPr>
              <w:pStyle w:val="Default"/>
              <w:jc w:val="both"/>
              <w:rPr>
                <w:sz w:val="20"/>
                <w:szCs w:val="20"/>
              </w:rPr>
            </w:pPr>
            <w:r w:rsidRPr="007306DC">
              <w:rPr>
                <w:sz w:val="20"/>
                <w:szCs w:val="20"/>
              </w:rPr>
              <w:t>+</w:t>
            </w:r>
          </w:p>
        </w:tc>
        <w:tc>
          <w:tcPr>
            <w:tcW w:w="1844" w:type="dxa"/>
            <w:gridSpan w:val="19"/>
          </w:tcPr>
          <w:p w:rsidR="00501C2D" w:rsidRPr="007306DC" w:rsidRDefault="00501C2D" w:rsidP="007306DC">
            <w:pPr>
              <w:pStyle w:val="Default"/>
              <w:jc w:val="both"/>
              <w:rPr>
                <w:sz w:val="20"/>
                <w:szCs w:val="20"/>
              </w:rPr>
            </w:pPr>
            <w:r w:rsidRPr="007306DC">
              <w:rPr>
                <w:sz w:val="20"/>
                <w:szCs w:val="20"/>
              </w:rPr>
              <w:t>+</w:t>
            </w:r>
          </w:p>
        </w:tc>
        <w:tc>
          <w:tcPr>
            <w:tcW w:w="1844" w:type="dxa"/>
            <w:gridSpan w:val="18"/>
          </w:tcPr>
          <w:p w:rsidR="00501C2D" w:rsidRPr="007306DC" w:rsidRDefault="00501C2D" w:rsidP="007306DC">
            <w:pPr>
              <w:pStyle w:val="Default"/>
              <w:jc w:val="both"/>
              <w:rPr>
                <w:sz w:val="20"/>
                <w:szCs w:val="20"/>
              </w:rPr>
            </w:pPr>
            <w:r w:rsidRPr="007306DC">
              <w:rPr>
                <w:sz w:val="20"/>
                <w:szCs w:val="20"/>
              </w:rPr>
              <w:t>+</w:t>
            </w:r>
          </w:p>
        </w:tc>
        <w:tc>
          <w:tcPr>
            <w:tcW w:w="1844" w:type="dxa"/>
            <w:gridSpan w:val="23"/>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trHeight w:val="109"/>
        </w:trPr>
        <w:tc>
          <w:tcPr>
            <w:tcW w:w="2305" w:type="dxa"/>
            <w:gridSpan w:val="22"/>
          </w:tcPr>
          <w:p w:rsidR="00501C2D" w:rsidRPr="007306DC" w:rsidRDefault="00501C2D" w:rsidP="007306DC">
            <w:pPr>
              <w:pStyle w:val="Default"/>
              <w:jc w:val="both"/>
              <w:rPr>
                <w:sz w:val="20"/>
                <w:szCs w:val="20"/>
              </w:rPr>
            </w:pPr>
            <w:r w:rsidRPr="007306DC">
              <w:rPr>
                <w:b/>
                <w:bCs/>
                <w:sz w:val="20"/>
                <w:szCs w:val="20"/>
              </w:rPr>
              <w:t>Accumulatie redenen</w:t>
            </w:r>
          </w:p>
        </w:tc>
        <w:tc>
          <w:tcPr>
            <w:tcW w:w="2305" w:type="dxa"/>
            <w:gridSpan w:val="24"/>
          </w:tcPr>
          <w:p w:rsidR="00501C2D" w:rsidRPr="007306DC" w:rsidRDefault="00501C2D" w:rsidP="007306DC">
            <w:pPr>
              <w:pStyle w:val="Default"/>
              <w:jc w:val="both"/>
              <w:rPr>
                <w:sz w:val="20"/>
                <w:szCs w:val="20"/>
              </w:rPr>
            </w:pPr>
            <w:r w:rsidRPr="007306DC">
              <w:rPr>
                <w:sz w:val="20"/>
                <w:szCs w:val="20"/>
              </w:rPr>
              <w:t>+</w:t>
            </w:r>
          </w:p>
        </w:tc>
        <w:tc>
          <w:tcPr>
            <w:tcW w:w="2305" w:type="dxa"/>
            <w:gridSpan w:val="23"/>
          </w:tcPr>
          <w:p w:rsidR="00501C2D" w:rsidRPr="007306DC" w:rsidRDefault="00501C2D" w:rsidP="007306DC">
            <w:pPr>
              <w:pStyle w:val="Default"/>
              <w:jc w:val="both"/>
              <w:rPr>
                <w:sz w:val="20"/>
                <w:szCs w:val="20"/>
              </w:rPr>
            </w:pPr>
            <w:r w:rsidRPr="007306DC">
              <w:rPr>
                <w:sz w:val="20"/>
                <w:szCs w:val="20"/>
              </w:rPr>
              <w:t>#</w:t>
            </w:r>
          </w:p>
        </w:tc>
        <w:tc>
          <w:tcPr>
            <w:tcW w:w="2305" w:type="dxa"/>
            <w:gridSpan w:val="27"/>
          </w:tcPr>
          <w:p w:rsidR="00501C2D" w:rsidRPr="007306DC" w:rsidRDefault="00501C2D" w:rsidP="007306DC">
            <w:pPr>
              <w:pStyle w:val="Default"/>
              <w:jc w:val="both"/>
              <w:rPr>
                <w:sz w:val="20"/>
                <w:szCs w:val="20"/>
              </w:rPr>
            </w:pPr>
            <w:r w:rsidRPr="007306DC">
              <w:rPr>
                <w:sz w:val="20"/>
                <w:szCs w:val="20"/>
              </w:rPr>
              <w:t>#</w:t>
            </w:r>
          </w:p>
        </w:tc>
      </w:tr>
      <w:tr w:rsidR="00501C2D" w:rsidRPr="007306DC">
        <w:tblPrEx>
          <w:tblCellMar>
            <w:top w:w="0" w:type="dxa"/>
            <w:bottom w:w="0" w:type="dxa"/>
          </w:tblCellMar>
        </w:tblPrEx>
        <w:trPr>
          <w:gridAfter w:val="2"/>
          <w:wAfter w:w="6" w:type="dxa"/>
          <w:trHeight w:val="98"/>
        </w:trPr>
        <w:tc>
          <w:tcPr>
            <w:tcW w:w="576" w:type="dxa"/>
            <w:gridSpan w:val="2"/>
          </w:tcPr>
          <w:p w:rsidR="00501C2D" w:rsidRPr="007306DC" w:rsidRDefault="00501C2D" w:rsidP="007306DC">
            <w:pPr>
              <w:pStyle w:val="Default"/>
              <w:jc w:val="both"/>
              <w:rPr>
                <w:sz w:val="20"/>
                <w:szCs w:val="20"/>
              </w:rPr>
            </w:pPr>
            <w:r w:rsidRPr="007306DC">
              <w:rPr>
                <w:b/>
                <w:bCs/>
                <w:sz w:val="20"/>
                <w:szCs w:val="20"/>
              </w:rPr>
              <w:t>G</w:t>
            </w:r>
          </w:p>
        </w:tc>
        <w:tc>
          <w:tcPr>
            <w:tcW w:w="576" w:type="dxa"/>
            <w:gridSpan w:val="8"/>
          </w:tcPr>
          <w:p w:rsidR="00501C2D" w:rsidRPr="007306DC" w:rsidRDefault="00501C2D" w:rsidP="007306DC">
            <w:pPr>
              <w:pStyle w:val="Default"/>
              <w:jc w:val="both"/>
              <w:rPr>
                <w:sz w:val="20"/>
                <w:szCs w:val="20"/>
              </w:rPr>
            </w:pPr>
            <w:r w:rsidRPr="007306DC">
              <w:rPr>
                <w:b/>
                <w:bCs/>
                <w:sz w:val="20"/>
                <w:szCs w:val="20"/>
              </w:rPr>
              <w:t>Ho</w:t>
            </w:r>
          </w:p>
        </w:tc>
        <w:tc>
          <w:tcPr>
            <w:tcW w:w="576" w:type="dxa"/>
            <w:gridSpan w:val="6"/>
          </w:tcPr>
          <w:p w:rsidR="00501C2D" w:rsidRPr="007306DC" w:rsidRDefault="00501C2D" w:rsidP="007306DC">
            <w:pPr>
              <w:pStyle w:val="Default"/>
              <w:jc w:val="both"/>
              <w:rPr>
                <w:sz w:val="20"/>
                <w:szCs w:val="20"/>
              </w:rPr>
            </w:pPr>
            <w:r w:rsidRPr="007306DC">
              <w:rPr>
                <w:b/>
                <w:bCs/>
                <w:sz w:val="20"/>
                <w:szCs w:val="20"/>
              </w:rPr>
              <w:t>M</w:t>
            </w:r>
          </w:p>
        </w:tc>
        <w:tc>
          <w:tcPr>
            <w:tcW w:w="576" w:type="dxa"/>
            <w:gridSpan w:val="6"/>
          </w:tcPr>
          <w:p w:rsidR="00501C2D" w:rsidRPr="007306DC" w:rsidRDefault="00501C2D" w:rsidP="007306DC">
            <w:pPr>
              <w:pStyle w:val="Default"/>
              <w:jc w:val="both"/>
              <w:rPr>
                <w:sz w:val="20"/>
                <w:szCs w:val="20"/>
              </w:rPr>
            </w:pPr>
            <w:r w:rsidRPr="007306DC">
              <w:rPr>
                <w:b/>
                <w:bCs/>
                <w:sz w:val="20"/>
                <w:szCs w:val="20"/>
              </w:rPr>
              <w:t>I</w:t>
            </w:r>
          </w:p>
        </w:tc>
        <w:tc>
          <w:tcPr>
            <w:tcW w:w="576" w:type="dxa"/>
            <w:gridSpan w:val="6"/>
          </w:tcPr>
          <w:p w:rsidR="00501C2D" w:rsidRPr="007306DC" w:rsidRDefault="00501C2D" w:rsidP="007306DC">
            <w:pPr>
              <w:pStyle w:val="Default"/>
              <w:jc w:val="both"/>
              <w:rPr>
                <w:sz w:val="20"/>
                <w:szCs w:val="20"/>
              </w:rPr>
            </w:pPr>
            <w:r w:rsidRPr="007306DC">
              <w:rPr>
                <w:b/>
                <w:bCs/>
                <w:sz w:val="20"/>
                <w:szCs w:val="20"/>
              </w:rPr>
              <w:t>Se</w:t>
            </w:r>
          </w:p>
        </w:tc>
        <w:tc>
          <w:tcPr>
            <w:tcW w:w="576" w:type="dxa"/>
            <w:gridSpan w:val="7"/>
          </w:tcPr>
          <w:p w:rsidR="00501C2D" w:rsidRPr="007306DC" w:rsidRDefault="00501C2D" w:rsidP="007306DC">
            <w:pPr>
              <w:pStyle w:val="Default"/>
              <w:jc w:val="both"/>
              <w:rPr>
                <w:sz w:val="20"/>
                <w:szCs w:val="20"/>
              </w:rPr>
            </w:pPr>
            <w:r w:rsidRPr="007306DC">
              <w:rPr>
                <w:b/>
                <w:bCs/>
                <w:sz w:val="20"/>
                <w:szCs w:val="20"/>
              </w:rPr>
              <w:t>Cs</w:t>
            </w:r>
          </w:p>
        </w:tc>
        <w:tc>
          <w:tcPr>
            <w:tcW w:w="576" w:type="dxa"/>
            <w:gridSpan w:val="6"/>
          </w:tcPr>
          <w:p w:rsidR="00501C2D" w:rsidRPr="007306DC" w:rsidRDefault="00501C2D" w:rsidP="007306DC">
            <w:pPr>
              <w:pStyle w:val="Default"/>
              <w:jc w:val="both"/>
              <w:rPr>
                <w:sz w:val="20"/>
                <w:szCs w:val="20"/>
              </w:rPr>
            </w:pPr>
            <w:r w:rsidRPr="007306DC">
              <w:rPr>
                <w:b/>
                <w:bCs/>
                <w:sz w:val="20"/>
                <w:szCs w:val="20"/>
              </w:rPr>
              <w:t>Cn</w:t>
            </w:r>
          </w:p>
        </w:tc>
        <w:tc>
          <w:tcPr>
            <w:tcW w:w="576" w:type="dxa"/>
            <w:gridSpan w:val="5"/>
          </w:tcPr>
          <w:p w:rsidR="00501C2D" w:rsidRPr="007306DC" w:rsidRDefault="00501C2D" w:rsidP="007306DC">
            <w:pPr>
              <w:pStyle w:val="Default"/>
              <w:jc w:val="both"/>
              <w:rPr>
                <w:sz w:val="20"/>
                <w:szCs w:val="20"/>
              </w:rPr>
            </w:pPr>
            <w:r w:rsidRPr="007306DC">
              <w:rPr>
                <w:b/>
                <w:bCs/>
                <w:sz w:val="20"/>
                <w:szCs w:val="20"/>
              </w:rPr>
              <w:t>Sp</w:t>
            </w:r>
          </w:p>
        </w:tc>
        <w:tc>
          <w:tcPr>
            <w:tcW w:w="576" w:type="dxa"/>
            <w:gridSpan w:val="5"/>
          </w:tcPr>
          <w:p w:rsidR="00501C2D" w:rsidRPr="007306DC" w:rsidRDefault="00501C2D" w:rsidP="007306DC">
            <w:pPr>
              <w:pStyle w:val="Default"/>
              <w:jc w:val="both"/>
              <w:rPr>
                <w:sz w:val="20"/>
                <w:szCs w:val="20"/>
              </w:rPr>
            </w:pPr>
            <w:r w:rsidRPr="007306DC">
              <w:rPr>
                <w:b/>
                <w:bCs/>
                <w:sz w:val="20"/>
                <w:szCs w:val="20"/>
              </w:rPr>
              <w:t>Ba</w:t>
            </w:r>
          </w:p>
        </w:tc>
        <w:tc>
          <w:tcPr>
            <w:tcW w:w="576" w:type="dxa"/>
            <w:gridSpan w:val="5"/>
          </w:tcPr>
          <w:p w:rsidR="00501C2D" w:rsidRPr="007306DC" w:rsidRDefault="00501C2D" w:rsidP="007306DC">
            <w:pPr>
              <w:pStyle w:val="Default"/>
              <w:jc w:val="both"/>
              <w:rPr>
                <w:sz w:val="20"/>
                <w:szCs w:val="20"/>
              </w:rPr>
            </w:pPr>
            <w:r w:rsidRPr="007306DC">
              <w:rPr>
                <w:b/>
                <w:bCs/>
                <w:sz w:val="20"/>
                <w:szCs w:val="20"/>
              </w:rPr>
              <w:t>D</w:t>
            </w:r>
          </w:p>
        </w:tc>
        <w:tc>
          <w:tcPr>
            <w:tcW w:w="576" w:type="dxa"/>
            <w:gridSpan w:val="6"/>
          </w:tcPr>
          <w:p w:rsidR="00501C2D" w:rsidRPr="007306DC" w:rsidRDefault="00501C2D" w:rsidP="007306DC">
            <w:pPr>
              <w:pStyle w:val="Default"/>
              <w:jc w:val="both"/>
              <w:rPr>
                <w:sz w:val="20"/>
                <w:szCs w:val="20"/>
              </w:rPr>
            </w:pPr>
            <w:r w:rsidRPr="007306DC">
              <w:rPr>
                <w:b/>
                <w:bCs/>
                <w:sz w:val="20"/>
                <w:szCs w:val="20"/>
              </w:rPr>
              <w:t>He</w:t>
            </w:r>
          </w:p>
        </w:tc>
        <w:tc>
          <w:tcPr>
            <w:tcW w:w="576" w:type="dxa"/>
            <w:gridSpan w:val="7"/>
          </w:tcPr>
          <w:p w:rsidR="00501C2D" w:rsidRPr="007306DC" w:rsidRDefault="00501C2D" w:rsidP="007306DC">
            <w:pPr>
              <w:pStyle w:val="Default"/>
              <w:jc w:val="both"/>
              <w:rPr>
                <w:sz w:val="20"/>
                <w:szCs w:val="20"/>
              </w:rPr>
            </w:pPr>
            <w:r w:rsidRPr="007306DC">
              <w:rPr>
                <w:b/>
                <w:bCs/>
                <w:sz w:val="20"/>
                <w:szCs w:val="20"/>
              </w:rPr>
              <w:t>F</w:t>
            </w:r>
          </w:p>
        </w:tc>
        <w:tc>
          <w:tcPr>
            <w:tcW w:w="576" w:type="dxa"/>
            <w:gridSpan w:val="5"/>
          </w:tcPr>
          <w:p w:rsidR="00501C2D" w:rsidRPr="007306DC" w:rsidRDefault="00501C2D" w:rsidP="007306DC">
            <w:pPr>
              <w:pStyle w:val="Default"/>
              <w:jc w:val="both"/>
              <w:rPr>
                <w:sz w:val="20"/>
                <w:szCs w:val="20"/>
              </w:rPr>
            </w:pPr>
            <w:r w:rsidRPr="007306DC">
              <w:rPr>
                <w:b/>
                <w:bCs/>
                <w:sz w:val="20"/>
                <w:szCs w:val="20"/>
              </w:rPr>
              <w:t>Sn</w:t>
            </w:r>
          </w:p>
        </w:tc>
        <w:tc>
          <w:tcPr>
            <w:tcW w:w="576" w:type="dxa"/>
            <w:gridSpan w:val="8"/>
          </w:tcPr>
          <w:p w:rsidR="00501C2D" w:rsidRPr="007306DC" w:rsidRDefault="00501C2D" w:rsidP="007306DC">
            <w:pPr>
              <w:pStyle w:val="Default"/>
              <w:jc w:val="both"/>
              <w:rPr>
                <w:sz w:val="20"/>
                <w:szCs w:val="20"/>
              </w:rPr>
            </w:pPr>
            <w:r w:rsidRPr="007306DC">
              <w:rPr>
                <w:b/>
                <w:bCs/>
                <w:sz w:val="20"/>
                <w:szCs w:val="20"/>
              </w:rPr>
              <w:t>Cu</w:t>
            </w:r>
          </w:p>
        </w:tc>
        <w:tc>
          <w:tcPr>
            <w:tcW w:w="576" w:type="dxa"/>
            <w:gridSpan w:val="9"/>
          </w:tcPr>
          <w:p w:rsidR="00501C2D" w:rsidRPr="007306DC" w:rsidRDefault="00501C2D" w:rsidP="007306DC">
            <w:pPr>
              <w:pStyle w:val="Default"/>
              <w:jc w:val="both"/>
              <w:rPr>
                <w:sz w:val="20"/>
                <w:szCs w:val="20"/>
              </w:rPr>
            </w:pPr>
            <w:r w:rsidRPr="007306DC">
              <w:rPr>
                <w:b/>
                <w:bCs/>
                <w:sz w:val="20"/>
                <w:szCs w:val="20"/>
              </w:rPr>
              <w:t>Bo</w:t>
            </w:r>
          </w:p>
        </w:tc>
        <w:tc>
          <w:tcPr>
            <w:tcW w:w="576" w:type="dxa"/>
            <w:gridSpan w:val="3"/>
          </w:tcPr>
          <w:p w:rsidR="00501C2D" w:rsidRPr="007306DC" w:rsidRDefault="00501C2D" w:rsidP="007306DC">
            <w:pPr>
              <w:pStyle w:val="Default"/>
              <w:jc w:val="both"/>
              <w:rPr>
                <w:sz w:val="20"/>
                <w:szCs w:val="20"/>
              </w:rPr>
            </w:pPr>
            <w:r w:rsidRPr="007306DC">
              <w:rPr>
                <w:b/>
                <w:bCs/>
                <w:sz w:val="20"/>
                <w:szCs w:val="20"/>
              </w:rPr>
              <w:t>Sk</w:t>
            </w:r>
          </w:p>
        </w:tc>
      </w:tr>
    </w:tbl>
    <w:p w:rsidR="0035044E" w:rsidRPr="007306DC" w:rsidRDefault="0035044E" w:rsidP="007306DC">
      <w:pPr>
        <w:jc w:val="both"/>
        <w:rPr>
          <w:sz w:val="20"/>
          <w:szCs w:val="20"/>
        </w:rPr>
      </w:pPr>
    </w:p>
    <w:sectPr w:rsidR="0035044E" w:rsidRPr="007306DC" w:rsidSect="007306DC">
      <w:headerReference w:type="even" r:id="rId6"/>
      <w:headerReference w:type="default" r:id="rId7"/>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5F1" w:rsidRDefault="00B315F1">
      <w:r>
        <w:separator/>
      </w:r>
    </w:p>
  </w:endnote>
  <w:endnote w:type="continuationSeparator" w:id="0">
    <w:p w:rsidR="00B315F1" w:rsidRDefault="00B3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5F1" w:rsidRDefault="00B315F1">
      <w:r>
        <w:separator/>
      </w:r>
    </w:p>
  </w:footnote>
  <w:footnote w:type="continuationSeparator" w:id="0">
    <w:p w:rsidR="00B315F1" w:rsidRDefault="00B3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6DC" w:rsidRDefault="007306DC" w:rsidP="009E0E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6DC" w:rsidRDefault="007306DC" w:rsidP="007306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6DC" w:rsidRDefault="007306DC" w:rsidP="009E0E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A93">
      <w:rPr>
        <w:rStyle w:val="PageNumber"/>
        <w:noProof/>
      </w:rPr>
      <w:t>2</w:t>
    </w:r>
    <w:r>
      <w:rPr>
        <w:rStyle w:val="PageNumber"/>
      </w:rPr>
      <w:fldChar w:fldCharType="end"/>
    </w:r>
  </w:p>
  <w:p w:rsidR="007306DC" w:rsidRDefault="007306DC" w:rsidP="007306D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1C2D"/>
    <w:rsid w:val="002A22EB"/>
    <w:rsid w:val="0035044E"/>
    <w:rsid w:val="00501C2D"/>
    <w:rsid w:val="007306DC"/>
    <w:rsid w:val="009E0EDA"/>
    <w:rsid w:val="00A10A93"/>
    <w:rsid w:val="00B315F1"/>
    <w:rsid w:val="00C50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C2D"/>
    <w:pPr>
      <w:autoSpaceDE w:val="0"/>
      <w:autoSpaceDN w:val="0"/>
      <w:adjustRightInd w:val="0"/>
    </w:pPr>
    <w:rPr>
      <w:color w:val="000000"/>
      <w:sz w:val="24"/>
      <w:szCs w:val="24"/>
      <w:lang w:val="nl-NL" w:eastAsia="nl-NL"/>
    </w:rPr>
  </w:style>
  <w:style w:type="paragraph" w:styleId="Header">
    <w:name w:val="header"/>
    <w:basedOn w:val="Normal"/>
    <w:link w:val="HeaderChar"/>
    <w:uiPriority w:val="99"/>
    <w:rsid w:val="007306D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306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7257</Words>
  <Characters>41371</Characters>
  <Application>Microsoft Office Word</Application>
  <DocSecurity>0</DocSecurity>
  <Lines>344</Lines>
  <Paragraphs>97</Paragraphs>
  <ScaleCrop>false</ScaleCrop>
  <Company>Hewlett-Packard Company</Company>
  <LinksUpToDate>false</LinksUpToDate>
  <CharactersWithSpaces>48531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EVANGELISCHE THEOLOGISCHE FACULTEIT</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